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95" w:rsidRPr="00AF7B95" w:rsidRDefault="00AF7B95" w:rsidP="00AF7B95">
      <w:pPr>
        <w:shd w:val="clear" w:color="auto" w:fill="FFFFFF"/>
        <w:spacing w:after="240" w:line="270" w:lineRule="atLeast"/>
        <w:outlineLvl w:val="2"/>
        <w:rPr>
          <w:rFonts w:ascii="Helvetica" w:eastAsia="Times New Roman" w:hAnsi="Helvetica" w:cs="Times New Roman"/>
          <w:color w:val="111111"/>
          <w:sz w:val="36"/>
          <w:szCs w:val="36"/>
          <w:lang w:eastAsia="ru-RU"/>
        </w:rPr>
      </w:pPr>
      <w:r w:rsidRPr="00AF7B95">
        <w:rPr>
          <w:rFonts w:ascii="Helvetica" w:eastAsia="Times New Roman" w:hAnsi="Helvetica" w:cs="Times New Roman"/>
          <w:color w:val="111111"/>
          <w:sz w:val="36"/>
          <w:szCs w:val="36"/>
          <w:lang w:eastAsia="ru-RU"/>
        </w:rPr>
        <w:t>11.11.11. Приглашение делать предложения (оферты) о приобретении акций дополнительного выпуска</w:t>
      </w:r>
    </w:p>
    <w:p w:rsidR="00AF7B95" w:rsidRPr="00AF7B95" w:rsidRDefault="00AF7B95" w:rsidP="00AF7B95">
      <w:pPr>
        <w:shd w:val="clear" w:color="auto" w:fill="FFFFFF"/>
        <w:spacing w:after="360" w:line="270" w:lineRule="atLeast"/>
        <w:rPr>
          <w:rFonts w:ascii="Helvetica" w:eastAsia="Times New Roman" w:hAnsi="Helvetica" w:cs="Times New Roman"/>
          <w:color w:val="222222"/>
          <w:sz w:val="18"/>
          <w:szCs w:val="18"/>
          <w:lang w:eastAsia="ru-RU"/>
        </w:rPr>
      </w:pPr>
      <w:r w:rsidRPr="00AF7B95">
        <w:rPr>
          <w:rFonts w:ascii="Helvetica" w:eastAsia="Times New Roman" w:hAnsi="Helvetica" w:cs="Times New Roman"/>
          <w:color w:val="222222"/>
          <w:sz w:val="18"/>
          <w:szCs w:val="18"/>
          <w:lang w:eastAsia="ru-RU"/>
        </w:rPr>
        <w:t> </w:t>
      </w:r>
    </w:p>
    <w:p w:rsidR="00AF7B95" w:rsidRPr="00AF7B95" w:rsidRDefault="00AF7B95" w:rsidP="00AF7B95">
      <w:pPr>
        <w:shd w:val="clear" w:color="auto" w:fill="FFFFFF"/>
        <w:spacing w:after="0" w:line="270" w:lineRule="atLeast"/>
        <w:rPr>
          <w:rFonts w:ascii="Helvetica" w:eastAsia="Times New Roman" w:hAnsi="Helvetica" w:cs="Times New Roman"/>
          <w:color w:val="222222"/>
          <w:sz w:val="18"/>
          <w:szCs w:val="18"/>
          <w:lang w:eastAsia="ru-RU"/>
        </w:rPr>
      </w:pPr>
      <w:r w:rsidRPr="00AF7B95">
        <w:rPr>
          <w:rFonts w:ascii="inherit" w:eastAsia="Times New Roman" w:hAnsi="inherit" w:cs="Times New Roman"/>
          <w:b/>
          <w:bCs/>
          <w:color w:val="222222"/>
          <w:sz w:val="24"/>
          <w:szCs w:val="24"/>
          <w:bdr w:val="none" w:sz="0" w:space="0" w:color="auto" w:frame="1"/>
          <w:lang w:eastAsia="ru-RU"/>
        </w:rPr>
        <w:t>11.11.2011: Приглашение делать предложения (оферты) о приобретении акций дополнительного выпуска Открытого акционерного общества «РАО Энергетические системы Востока» (государственный регистрационный номер 1-01-55384-E-001D от 24.05.2011 года) (далее – «Приглашение»)</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Открытое акционерное Общество «РАО Энергетические системы Востока» (далее по тексту – Эмитент, Общество, ОАО «РАО Энергетические системы Востока»), место нахождения Общества: 675000, Амурская обл., г. Благовещенск, ул. Шевченко, д.28, уведомляет о том, что 24 мая 2011 года Федеральная служба по финансовым рынкам (ФСФР России) осуществила государственную регистрацию дополнительного выпуска и проспекта ценных бумаг ОАО «РАО Энергетические системы Востока», размещаемых путем открытой подписки: акции именные обыкновенные бездокументарные номинальной стоимостью 0,5 (ноль целых пять десятых) рубля каждая в количестве 3 636 867 919 (Три миллиарда шестьсот тридцать шесть миллионов восемьсот шестьдесят семь тысяч девятьсот девятнадцать) штук (далее – Акции).</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Дополнительному выпуску Акций присвоен государственный регистрационный номер: 1-01-55384-Е-001D.</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Настоящее сообщение является адресованным неопределенному кругу лиц приглашением делать предложения (оферты) о приобретении Акций Общества.</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Настоящее Приглашение опубликовывается Эмитентом в соответствии с требованиями п.8.3. Решения о дополнительном выпуске ценных бумаг, зарегистрированного ФСФР России 24.05.2011 года.</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Количество Акций, размещенных лицам, осуществившим преимущественное право приобретения Акций: </w:t>
      </w:r>
      <w:r w:rsidRPr="00AF7B95">
        <w:rPr>
          <w:rFonts w:ascii="inherit" w:eastAsia="Times New Roman" w:hAnsi="inherit" w:cs="Times New Roman"/>
          <w:b/>
          <w:bCs/>
          <w:color w:val="222222"/>
          <w:sz w:val="24"/>
          <w:szCs w:val="24"/>
          <w:bdr w:val="none" w:sz="0" w:space="0" w:color="auto" w:frame="1"/>
          <w:lang w:eastAsia="ru-RU"/>
        </w:rPr>
        <w:t>1 034 522 651 (Один миллиард тридцать четыре миллиона пятьсот двадцать две тысячи шестьсот пятьдесят одна) штука.</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Максимальное суммарное количество Акций, которое может быть размещено неопределенному кругу лиц в соответствии с поданными ими офертами: </w:t>
      </w:r>
      <w:r w:rsidRPr="00AF7B95">
        <w:rPr>
          <w:rFonts w:ascii="inherit" w:eastAsia="Times New Roman" w:hAnsi="inherit" w:cs="Times New Roman"/>
          <w:b/>
          <w:bCs/>
          <w:color w:val="222222"/>
          <w:sz w:val="24"/>
          <w:szCs w:val="24"/>
          <w:bdr w:val="none" w:sz="0" w:space="0" w:color="auto" w:frame="1"/>
          <w:lang w:eastAsia="ru-RU"/>
        </w:rPr>
        <w:t>2 602 345 268 (Два миллиарда шестьсот два миллиона триста сорок пять тысяч двести шестьдесят восемь) штук</w:t>
      </w:r>
    </w:p>
    <w:p w:rsidR="00AF7B95" w:rsidRPr="00AF7B95" w:rsidRDefault="00AF7B95" w:rsidP="00AF7B95">
      <w:pPr>
        <w:shd w:val="clear" w:color="auto" w:fill="FFFFFF"/>
        <w:spacing w:after="360" w:line="270" w:lineRule="atLeast"/>
        <w:rPr>
          <w:rFonts w:ascii="Helvetica" w:eastAsia="Times New Roman" w:hAnsi="Helvetica" w:cs="Times New Roman"/>
          <w:color w:val="222222"/>
          <w:sz w:val="18"/>
          <w:szCs w:val="18"/>
          <w:lang w:eastAsia="ru-RU"/>
        </w:rPr>
      </w:pPr>
      <w:r w:rsidRPr="00AF7B95">
        <w:rPr>
          <w:rFonts w:ascii="Helvetica" w:eastAsia="Times New Roman" w:hAnsi="Helvetica" w:cs="Times New Roman"/>
          <w:color w:val="222222"/>
          <w:sz w:val="18"/>
          <w:szCs w:val="18"/>
          <w:lang w:eastAsia="ru-RU"/>
        </w:rPr>
        <w:t>.</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b/>
          <w:bCs/>
          <w:color w:val="222222"/>
          <w:sz w:val="24"/>
          <w:szCs w:val="24"/>
          <w:bdr w:val="none" w:sz="0" w:space="0" w:color="auto" w:frame="1"/>
          <w:lang w:eastAsia="ru-RU"/>
        </w:rPr>
        <w:t>Порядок и условия подачи оферт:</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Оферты о приобретении акций (далее – Оферты) могут быть поданы Эмитенту </w:t>
      </w:r>
      <w:r w:rsidRPr="00AF7B95">
        <w:rPr>
          <w:rFonts w:ascii="inherit" w:eastAsia="Times New Roman" w:hAnsi="inherit" w:cs="Times New Roman"/>
          <w:b/>
          <w:bCs/>
          <w:color w:val="222222"/>
          <w:sz w:val="24"/>
          <w:szCs w:val="24"/>
          <w:bdr w:val="none" w:sz="0" w:space="0" w:color="auto" w:frame="1"/>
          <w:lang w:eastAsia="ru-RU"/>
        </w:rPr>
        <w:t>в течение 10 (десяти) дней начиная с даты размещения настоящего Приглашения</w:t>
      </w:r>
      <w:r w:rsidRPr="00AF7B95">
        <w:rPr>
          <w:rFonts w:ascii="inherit" w:eastAsia="Times New Roman" w:hAnsi="inherit" w:cs="Times New Roman"/>
          <w:color w:val="222222"/>
          <w:sz w:val="24"/>
          <w:szCs w:val="24"/>
          <w:bdr w:val="none" w:sz="0" w:space="0" w:color="auto" w:frame="1"/>
          <w:lang w:eastAsia="ru-RU"/>
        </w:rPr>
        <w:t> в ленте новостей информационного агентства ЗАО «Интерфакс» (далее также - лента новостей «Интерфакс») (далее данный период обозначается как Срок сбора оферт).</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Потенциальный приобретатель размещаемых ценных бумаг (далее также - Приобретатель) может подать Оферту ежедневно с 10:00 часов до 16:00 часов по московскому времени, кроме субботы, воскресенья и нерабочих праздничных дней по адресу: Россия, 109544, г. Москва, ул. Новорогожская, д.32, стр.1, ЗАО «СТАТУС».</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Оферта подается Приобретателем лично или через своего уполномоченного представителя, имеющего надлежащим образом оформленную доверенность или иной документ, подтверждающий полномочия представителя.</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Каждая Оферта должна содержать следующие сведения (рекомендуемые формы Оферты для физических и юридических лиц размещены на веб-сайте Эмитента www.rao-esv.ru в сети Интернет):</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lastRenderedPageBreak/>
        <w:t>1. заголовок: "Оферта на приобретение акций ОАО "РАО Энергетические системы Востока";</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2. полное фирменное наименование / фамилия, имя, отчество Приобретателя;</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3. идентификационный номер налогоплательщика Приобретателя (при наличии);</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4. указание места жительства (места нахождения) Приобретателя;</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5. для физических лиц - указание паспортных данных (дата и место рождения; серия, номер и дата выдачи паспорта, орган, выдавший паспорт);</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6. для юридических лиц - сведения о регистрации юридического лица (в том числе для российских юридических лиц - сведения о государственной регистрации юридического лица/внесении в Единый государственный реестр юридических лиц (дата, регистрирующий орган, номер соответствующего свидетельства);</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7. согласие лица, делающего Оферту, приобрести размещаемые акции в определенном в Оферте количестве по цене размещения, установленной в Решении о дополнительном выпуске ценных бумаг;</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8. количество приобретаемых ценных бумаг, которое может быть выражено одним из следующих способов:</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•точное количество акций в числовом выражении, которое Приобретатель обязуется приобрести;</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•минимальное количество акций, которое Приобретатель обязуется приобрести. Указание минимального количества означает предложение Приобретателя, подавшего Оферту, приобрести любое количество размещаемых акций в количестве не менее указанного минимального количества;</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•максимальное количество акций, которое Приобретатель обязуется приобрести. Указание максимального количества означает предложение Приобретателя, подавшего Оферту, приобрести любое количество размещаемых акций в количестве не более указанного максимального количества;</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•минимальное и максимальное количество акций, которое Приобретатель обязуется приобрести. Указание минимального и максимального количества означает предложение лица, направившего Оферту, приобрести любое количество размещаемых акций в количестве не менее указанного минимального количества и не более указанного максимального количества;</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9.номер лицевого счета Приобретателя в реестре владельцев именных ценных бумаг Эмитента для перевода на него приобретаемых акций. Если акции должны быть зачислены в реестре владельцев именных ценных бумаг Эмитента на счет номинального держателя, то по нему указываются: полное фирменное наименование, данные о государственной регистрации (ОГРН, наименование органа, осуществившего государственную регистрацию, дата государственной регистрации и внесения записи о депозитарии в ЕГРЮЛ), номер лицевого счета номинального держателя в реестре владельцев именных ценных бумаг Эмитента, номер счета депо Приобретателя, номер и дата депозитарного договора, заключенного между номинальным держателем и Приобретателем (в отношении размещаемых ценных бумаг). Если ведение счета депо Приобретателя (в отношении размещаемых ценных бумаг) осуществляется номинальным держателем, в свою очередь, являющимся депонентом (далее - Депозитарий второго уровня) другого номинального держателя (далее - Депозитарий первого уровня), то в Оферте указываются:</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•по каждому из указанных Депозитариев полное фирменное наименование;</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•данные о государственной регистрации (ОГРН, наименование органа, осуществившего государственную регистрацию, дата государственной регистрации и внесения записи о депозитарии в ЕГРЮЛ) Депозитария первого уровня;</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•номер лицевого счета Депозитария первого уровня в реестре владельцев именных ценных бумаг Эмитента;</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•номер счета депо Приобретателя;</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lastRenderedPageBreak/>
        <w:t>•номер и дата депозитарного договора, заключенного между Депозитарием второго уровня и Приобретателем (в отношении размещаемых ценных бумаг);</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•номер и дата междепозитарного договора, заключенного между Депозитариями. Данная информация указывается по всем номинальным держателям, начиная с номинального держателя, у которого Приобретателем открыт счет депо (в отношении размещаемых ценных бумаг), и заканчивая номинальным держателем, имеющим лицевой счет в реестре владельцев именных ценных бумаг Эмитента.</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10.банковские реквизиты Приобретателя, по которым может осуществляться возврат денежных средств;</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11.контактные данные (почтовый адрес, факс с указанием междугороднего кода и/или адрес электронной почты) для целей направления ответа о принятии Оферты (акцепта).</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К Оферте должно быть приложено:</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•для юридических лиц - нотариально удостоверенная копия учредительных документов и документов, подтверждающих полномочия лица, имеющего право действовать от имени юридического лица без доверенности;</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•в случае если в соответствии с требованиями закона приобретение лицом, подавшим Оферту, указанного в Оферте количества акций осуществляется с предварительного согласия антимонопольного органа, лицо, подавшее Оферту, обязано приложить к Оферте копию соответствующего согласия антимонопольного органа;</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•в случае если в соответствии с требованиями закона приобретение лицом, подавшим Оферту, указанного в Оферте количества акций осуществляется с предварительного одобрения компетентного органа управления Приобретателя (совета директоров, общего собрания акционеров), лицо, подавшее Оферту, обязано приложить к Оферте копию соответствующего решения об одобрении сделки по приобретению размещаемых ценных бумаг.</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Оферта должна быть подписана Приобретателем (или уполномоченным им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 для юридических лиц, - содержать оттиск печати (при ее наличии).</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Эмитент отказывает в приеме Оферты в случае, если Оферта не отвечает требованиям законодательства Российской Федерации и (или) Решения о дополнительном выпуске ценных бумаг.</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Поданные Оферты подлежат регистрации Эмитентом в специальном журнале учета поступивших предложений (далее - Журнал учета) в день их поступления. На основании данных Журнала учета Эмитент направляет ответ о принятии предложения (Оферты) (акцепт) Приобретателям, определяемым Эмитентом по своему усмотрению из числа Приобретателей, направивших Оферты, соответствующие требованиям, установленным в пункте 8.3. Решения о дополнительном выпуске ценных бумаг.</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Такой ответ должен содержать количество акций, размещаемых Приобретателю, направившему Оферту. Ответ о принятии Оферты (акцепт) вручается Приобретателю лично или его уполномоченному представителю, или направляется по адресу и (или) номеру факса, указанному в Оферте, </w:t>
      </w:r>
      <w:r w:rsidRPr="00AF7B95">
        <w:rPr>
          <w:rFonts w:ascii="inherit" w:eastAsia="Times New Roman" w:hAnsi="inherit" w:cs="Times New Roman"/>
          <w:b/>
          <w:bCs/>
          <w:color w:val="222222"/>
          <w:sz w:val="24"/>
          <w:szCs w:val="24"/>
          <w:bdr w:val="none" w:sz="0" w:space="0" w:color="auto" w:frame="1"/>
          <w:lang w:eastAsia="ru-RU"/>
        </w:rPr>
        <w:t>не позднее 1 (одного) дня,</w:t>
      </w:r>
      <w:r w:rsidRPr="00AF7B95">
        <w:rPr>
          <w:rFonts w:ascii="inherit" w:eastAsia="Times New Roman" w:hAnsi="inherit" w:cs="Times New Roman"/>
          <w:color w:val="222222"/>
          <w:sz w:val="24"/>
          <w:szCs w:val="24"/>
          <w:bdr w:val="none" w:sz="0" w:space="0" w:color="auto" w:frame="1"/>
          <w:lang w:eastAsia="ru-RU"/>
        </w:rPr>
        <w:t> следующего за днем принятия Эмитентом решения об акцепте Оферты (далее также - Срок рассылки акцептов).</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Решение о принятии Оферты (акцепте) может быть принято Эмитентом</w:t>
      </w:r>
      <w:r w:rsidRPr="00AF7B95">
        <w:rPr>
          <w:rFonts w:ascii="inherit" w:eastAsia="Times New Roman" w:hAnsi="inherit" w:cs="Times New Roman"/>
          <w:b/>
          <w:bCs/>
          <w:color w:val="222222"/>
          <w:sz w:val="24"/>
          <w:szCs w:val="24"/>
          <w:bdr w:val="none" w:sz="0" w:space="0" w:color="auto" w:frame="1"/>
          <w:lang w:eastAsia="ru-RU"/>
        </w:rPr>
        <w:t>не позднее 2 (двух) дней</w:t>
      </w:r>
      <w:r w:rsidRPr="00AF7B95">
        <w:rPr>
          <w:rFonts w:ascii="inherit" w:eastAsia="Times New Roman" w:hAnsi="inherit" w:cs="Times New Roman"/>
          <w:color w:val="222222"/>
          <w:sz w:val="24"/>
          <w:szCs w:val="24"/>
          <w:bdr w:val="none" w:sz="0" w:space="0" w:color="auto" w:frame="1"/>
          <w:lang w:eastAsia="ru-RU"/>
        </w:rPr>
        <w:t> с даты истечения Срока сбора оферт (Срок акцепта). Эмитент вправе принимать решение об акцепте Оферты лишь в отношении того количества дополнительных акций, которые в момент принятия решения об акцепте такой Оферты являются неразмещенными и не подлежат размещению иному Приобретателю.</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Договор о приобретении акций считается заключенным в момент получения Приобретателем (уполномоченным представителем Приобретателя, подавшим Оферту), направившим оферту, ответа Эмитента о принятии Оферты (акцепте).</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lastRenderedPageBreak/>
        <w:t>Ответ о принятии предложений (Оферт) (акцепт) направляется лицам, определяемым Эмитентом по его усмотрению, из числа лиц, сделавших такие предложения (Оферты). Приобретаемые ценные бумаги должны быть полностью оплачены Приобретателем, получившим ответ Эмитента о принятии Оферты (акцепт), </w:t>
      </w:r>
      <w:r w:rsidRPr="00AF7B95">
        <w:rPr>
          <w:rFonts w:ascii="inherit" w:eastAsia="Times New Roman" w:hAnsi="inherit" w:cs="Times New Roman"/>
          <w:b/>
          <w:bCs/>
          <w:color w:val="222222"/>
          <w:sz w:val="24"/>
          <w:szCs w:val="24"/>
          <w:bdr w:val="none" w:sz="0" w:space="0" w:color="auto" w:frame="1"/>
          <w:lang w:eastAsia="ru-RU"/>
        </w:rPr>
        <w:t>в течение 36 (тридцати шести) дней</w:t>
      </w:r>
      <w:r w:rsidRPr="00AF7B95">
        <w:rPr>
          <w:rFonts w:ascii="inherit" w:eastAsia="Times New Roman" w:hAnsi="inherit" w:cs="Times New Roman"/>
          <w:color w:val="222222"/>
          <w:sz w:val="24"/>
          <w:szCs w:val="24"/>
          <w:bdr w:val="none" w:sz="0" w:space="0" w:color="auto" w:frame="1"/>
          <w:lang w:eastAsia="ru-RU"/>
        </w:rPr>
        <w:t> с даты истечения Срока рассылки акцептов (далее также - Срок оплаты ценных бумаг).</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Обязательство по оплате размещаемых акций считается исполненным в момент поступления денежных средств на банковский счет Эмитента, указанный в пункте 8.6. Решения о дополнительном выпуске ценных бумаг.</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В случае, если в указанный срок обязательство по оплате приобретаемых акций не будет исполнено или будет исполнено частично, Эмитент имеет право отказаться от исполнения встречного обязательства по передаче акций Приобретателю.</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В случае частичного исполнения Приобретателем обязательства по оплате приобретаемых акций Эмитент вправе исполнить встречное обязательство по передаче акций Приобретателю в количестве, оплаченном Приобретателем.</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В случае частичного исполнения Приобретателем обязательства по оплате приобретаемых акций или полного отказа Эмитента от исполнения встречного обязательства по передаче акций в случае, если Приобретатель не осуществил оплату акций в указанные выше сроки, денежные средства, полученные в качестве частичного исполнения обязательства по оплате акций, или, соответственно, все денежные средства, уплаченные потенциальным приобретателем за акции, подлежат возврату Приобретателю в безналичном порядке не позднее 30 (тридцати) рабочих дней с Даты окончания размещения ценных бумаг по банковским реквизитам, указанным в Оферте.</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Эмитент вправе не направлять Приобретателю уведомление об отказе Эмитента от исполнения встречного обязательства по передаче акций (всех или не оплаченных Приобретателем, соответственно), но, по усмотрению Эмитента указанное уведомление может быть вручено Приобретателю лично или через его уполномоченного представителя, или направлено по почтовому адресу и (или) номеру факса и (или) адресу электронной почты, указанному в Оферте.</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Обязательство Эмитента по передаче Приобретателю размещаемых ценных бумаг считается выполненным с момента внесения приходной записи по лицевому счету Приобретателя или номинального держателя (Депозитария первого уровня), указанного в Оферте Приобретателя, соответствующего количества размещаемых ценных бумаг.</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Изменение и/или расторжение договоров, заключенных при размещении акций, осуществляется по основаниям и в порядке, предусмотренном главой 29 Гражданского кодекса Российской Федерации.</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b/>
          <w:bCs/>
          <w:color w:val="222222"/>
          <w:sz w:val="24"/>
          <w:szCs w:val="24"/>
          <w:bdr w:val="none" w:sz="0" w:space="0" w:color="auto" w:frame="1"/>
          <w:lang w:eastAsia="ru-RU"/>
        </w:rPr>
        <w:t>Порядок оплаты ценных бумаг:</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Дополнительные акции оплачиваются денежными средствами в рублях Российской Федерации в безналичной форме путем их перечисления на расчетный счет Эмитента, указанный в пункте 8.6 Решения о дополнительном выпуске ценных бумаг и в настоящем Приглашении.</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Приобретаемые ценные бумаги должны быть полностью оплачены Приобретателем, получившим ответ Эмитента о принятии Оферты (акцепт), </w:t>
      </w:r>
      <w:r w:rsidRPr="00AF7B95">
        <w:rPr>
          <w:rFonts w:ascii="inherit" w:eastAsia="Times New Roman" w:hAnsi="inherit" w:cs="Times New Roman"/>
          <w:b/>
          <w:bCs/>
          <w:color w:val="222222"/>
          <w:sz w:val="24"/>
          <w:szCs w:val="24"/>
          <w:bdr w:val="none" w:sz="0" w:space="0" w:color="auto" w:frame="1"/>
          <w:lang w:eastAsia="ru-RU"/>
        </w:rPr>
        <w:t>в течение 36 (тридцати шести) дней</w:t>
      </w:r>
      <w:r w:rsidRPr="00AF7B95">
        <w:rPr>
          <w:rFonts w:ascii="inherit" w:eastAsia="Times New Roman" w:hAnsi="inherit" w:cs="Times New Roman"/>
          <w:color w:val="222222"/>
          <w:sz w:val="24"/>
          <w:szCs w:val="24"/>
          <w:bdr w:val="none" w:sz="0" w:space="0" w:color="auto" w:frame="1"/>
          <w:lang w:eastAsia="ru-RU"/>
        </w:rPr>
        <w:t> с даты истечения Срока рассылки акцептов (далее также - Срок оплаты ценных бумаг).</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Банковские реквизиты счетов, на которые должны перечисляться денежные средства, поступающие в оплату ценных бумаг:</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b/>
          <w:bCs/>
          <w:color w:val="222222"/>
          <w:sz w:val="24"/>
          <w:szCs w:val="24"/>
          <w:bdr w:val="none" w:sz="0" w:space="0" w:color="auto" w:frame="1"/>
          <w:lang w:eastAsia="ru-RU"/>
        </w:rPr>
        <w:t>Получатель: ОАО "РАО Энергетические системы Востока"</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b/>
          <w:bCs/>
          <w:color w:val="222222"/>
          <w:sz w:val="24"/>
          <w:szCs w:val="24"/>
          <w:bdr w:val="none" w:sz="0" w:space="0" w:color="auto" w:frame="1"/>
          <w:lang w:eastAsia="ru-RU"/>
        </w:rPr>
        <w:t>ИНН 2801133630, КПП 997450001</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b/>
          <w:bCs/>
          <w:color w:val="222222"/>
          <w:sz w:val="24"/>
          <w:szCs w:val="24"/>
          <w:bdr w:val="none" w:sz="0" w:space="0" w:color="auto" w:frame="1"/>
          <w:lang w:eastAsia="ru-RU"/>
        </w:rPr>
        <w:t>Р/с 407 02 810 070 000 010 132</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b/>
          <w:bCs/>
          <w:color w:val="222222"/>
          <w:sz w:val="24"/>
          <w:szCs w:val="24"/>
          <w:bdr w:val="none" w:sz="0" w:space="0" w:color="auto" w:frame="1"/>
          <w:lang w:eastAsia="ru-RU"/>
        </w:rPr>
        <w:lastRenderedPageBreak/>
        <w:t>в Филиале Открытого акционерного общества "Сбербанк России" - Дальневосточный Банк</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b/>
          <w:bCs/>
          <w:color w:val="222222"/>
          <w:sz w:val="24"/>
          <w:szCs w:val="24"/>
          <w:bdr w:val="none" w:sz="0" w:space="0" w:color="auto" w:frame="1"/>
          <w:lang w:eastAsia="ru-RU"/>
        </w:rPr>
        <w:t>К/с 301 01 810 600 000 000 608, БИК 040813608</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b/>
          <w:bCs/>
          <w:color w:val="222222"/>
          <w:sz w:val="24"/>
          <w:szCs w:val="24"/>
          <w:bdr w:val="none" w:sz="0" w:space="0" w:color="auto" w:frame="1"/>
          <w:lang w:eastAsia="ru-RU"/>
        </w:rPr>
        <w:t>Дополнительная информация.</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Адрес страницы в сети Интернет, используемой Эмитентом для раскрытия информации: www.rao-esv.ru.</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Исчерпывающая юридическая информация об условиях размещения ценных бумаг, в отношении которых сделано настоящее Приглашение, содержится в Решении о дополнительном выпуске ценных бумаг и Проспекте ценных бумаг, содержание которых раскрыто в установленном порядке (в т.ч. на веб-сайте Эмитента www.rao-esv.ru в сети Интернет).</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Обращаем Ваше внимание, что в соответствии с п. 5 ст. 44 Федерального закона «Об акционерных обществах» 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(Ф.И.О., данные паспорта, год и дата рождения; место проживания (регистрации), образец подписи владельца ценных бумаг иные данные, предусмотренные п.3.4.1. Положения о ведении реестра владельцев именных ценных бумаг (утв. Постановлением ФКЦБ РФ от 2 октября 1997 г. № 27).</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В случаях, если данные акционера претерпели изменения, у регистратора отсутствует анкета зарегистрированного лица или комплект документов юридического лица, то такому акционеру необходимо предоставить в ЗАО «СТАТУС» в порядке, предусмотренном действующими нормативными актами, сведения об изменении своих данных и/или недостающие документы.</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В случае непредставления зарегистрированными лицами информации об изменении своих данных и/или необходимых документов, внесение приходных записей по счетам приобретателей может оказаться невозможным, при этом ОАО «РАО Энергетические системы Востока» и регистратор Общества (ЗАО «СТАТУС») не несут ответственности за причиненные в связи с этим убытки.</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По вопросам, связанным с размещением ценных бумаг ОАО «РАО Энергетические системы Востока» в соответствии с настоящим Приглашением, просьба обращаться по телефонам:</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 в ОАО «РАО Энергетические системы Востока»: (495) 287-67-10</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 в ЗАО «СТАТУС»: (495) 974-87-40.</w:t>
      </w:r>
    </w:p>
    <w:p w:rsidR="00AF7B95" w:rsidRPr="00AF7B95" w:rsidRDefault="00AF7B95" w:rsidP="00AF7B95">
      <w:pPr>
        <w:shd w:val="clear" w:color="auto" w:fill="FFFFFF"/>
        <w:spacing w:after="0" w:line="270" w:lineRule="atLeast"/>
        <w:ind w:left="85" w:right="256"/>
        <w:jc w:val="both"/>
        <w:rPr>
          <w:rFonts w:ascii="Helvetica" w:eastAsia="Times New Roman" w:hAnsi="Helvetica" w:cs="Times New Roman"/>
          <w:color w:val="222222"/>
          <w:sz w:val="18"/>
          <w:szCs w:val="18"/>
          <w:lang w:eastAsia="ru-RU"/>
        </w:rPr>
      </w:pPr>
      <w:r w:rsidRPr="00AF7B95">
        <w:rPr>
          <w:rFonts w:ascii="inherit" w:eastAsia="Times New Roman" w:hAnsi="inherit" w:cs="Times New Roman"/>
          <w:color w:val="222222"/>
          <w:sz w:val="24"/>
          <w:szCs w:val="24"/>
          <w:bdr w:val="none" w:sz="0" w:space="0" w:color="auto" w:frame="1"/>
          <w:lang w:eastAsia="ru-RU"/>
        </w:rPr>
        <w:t>По вопросам, связанным с проведением операций по открытию лицевых счетов, внесению изменений в данные лицевых счетов и совершением иных операций в реестре ОАО «РАО Энергетические системы Востока», просьба обращаться к регистратору Общества (ЗАО «СТАТУС») по телефону (495) 974-87-40</w:t>
      </w:r>
    </w:p>
    <w:p w:rsidR="005A5E13" w:rsidRDefault="00AF7B95">
      <w:bookmarkStart w:id="0" w:name="_GoBack"/>
      <w:bookmarkEnd w:id="0"/>
    </w:p>
    <w:sectPr w:rsidR="005A5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95"/>
    <w:rsid w:val="00AF7B95"/>
    <w:rsid w:val="00C5284A"/>
    <w:rsid w:val="00D40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F7B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7B9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F7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7B95"/>
    <w:rPr>
      <w:b/>
      <w:bCs/>
    </w:rPr>
  </w:style>
  <w:style w:type="character" w:customStyle="1" w:styleId="apple-converted-space">
    <w:name w:val="apple-converted-space"/>
    <w:basedOn w:val="a0"/>
    <w:rsid w:val="00AF7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F7B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7B9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F7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7B95"/>
    <w:rPr>
      <w:b/>
      <w:bCs/>
    </w:rPr>
  </w:style>
  <w:style w:type="character" w:customStyle="1" w:styleId="apple-converted-space">
    <w:name w:val="apple-converted-space"/>
    <w:basedOn w:val="a0"/>
    <w:rsid w:val="00AF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2353</Words>
  <Characters>13417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Oslik</dc:creator>
  <cp:lastModifiedBy>Oslik</cp:lastModifiedBy>
  <cp:revision>1</cp:revision>
  <dcterms:created xsi:type="dcterms:W3CDTF">2013-01-31T09:02:00Z</dcterms:created>
  <dcterms:modified xsi:type="dcterms:W3CDTF">2013-01-31T09:02:00Z</dcterms:modified>
</cp:coreProperties>
</file>