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9D76D0" w:rsidP="009D76D0">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65080F">
        <w:rPr>
          <w:sz w:val="28"/>
          <w:szCs w:val="28"/>
        </w:rPr>
        <w:t>132</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bookmarkStart w:id="0" w:name="_GoBack"/>
            <w:bookmarkEnd w:id="0"/>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65080F" w:rsidP="00753AEC">
            <w:pPr>
              <w:widowControl w:val="0"/>
              <w:spacing w:line="360" w:lineRule="atLeast"/>
              <w:ind w:left="452"/>
              <w:rPr>
                <w:rFonts w:eastAsia="MS Mincho"/>
                <w:spacing w:val="-1"/>
              </w:rPr>
            </w:pPr>
            <w:r>
              <w:rPr>
                <w:rFonts w:eastAsia="MS Mincho"/>
                <w:szCs w:val="28"/>
              </w:rPr>
              <w:t>21</w:t>
            </w:r>
            <w:r w:rsidR="00723C82">
              <w:rPr>
                <w:rFonts w:eastAsia="MS Mincho"/>
                <w:szCs w:val="28"/>
              </w:rPr>
              <w:t xml:space="preserve"> декабря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65080F" w:rsidP="0003471E">
            <w:pPr>
              <w:widowControl w:val="0"/>
              <w:spacing w:line="360" w:lineRule="atLeast"/>
              <w:ind w:left="452"/>
              <w:rPr>
                <w:rFonts w:eastAsia="MS Mincho"/>
              </w:rPr>
            </w:pPr>
            <w:r w:rsidRPr="00CB4266">
              <w:rPr>
                <w:rFonts w:eastAsia="MS Mincho"/>
              </w:rPr>
              <w:t>22</w:t>
            </w:r>
            <w:r w:rsidR="00723C82" w:rsidRPr="00CB4266">
              <w:rPr>
                <w:rFonts w:eastAsia="MS Mincho"/>
              </w:rPr>
              <w:t xml:space="preserve"> декабря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DB07D8"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3B60FC" w:rsidRPr="00AB5BB8">
        <w:t>вившие опросный лист по вопросам</w:t>
      </w:r>
      <w:r w:rsidR="002C09DC" w:rsidRPr="00AB5BB8">
        <w:t xml:space="preserve"> повестки дня заседания:</w:t>
      </w:r>
      <w:r w:rsidR="00546A6B" w:rsidRPr="00AB5BB8">
        <w:t xml:space="preserve"> </w:t>
      </w:r>
      <w:r w:rsidR="003D2512" w:rsidRPr="005252F4">
        <w:t>Галка В.В.,</w:t>
      </w:r>
      <w:r w:rsidR="00CB4266">
        <w:rPr>
          <w:color w:val="FF0000"/>
        </w:rPr>
        <w:t xml:space="preserve"> </w:t>
      </w:r>
      <w:r w:rsidR="000F292F" w:rsidRPr="005252F4">
        <w:t xml:space="preserve">Могилевич О.К., </w:t>
      </w:r>
      <w:r w:rsidR="00CB4266">
        <w:t xml:space="preserve">      </w:t>
      </w:r>
      <w:proofErr w:type="spellStart"/>
      <w:r w:rsidR="007F079A" w:rsidRPr="00A94327">
        <w:t>Посевина</w:t>
      </w:r>
      <w:proofErr w:type="spellEnd"/>
      <w:r w:rsidR="007F079A" w:rsidRPr="00A94327">
        <w:t xml:space="preserve"> И.О., </w:t>
      </w:r>
      <w:proofErr w:type="spellStart"/>
      <w:r w:rsidR="00FB6928" w:rsidRPr="00FF65CF">
        <w:t>Станюленайте</w:t>
      </w:r>
      <w:proofErr w:type="spellEnd"/>
      <w:r w:rsidR="00FB6928" w:rsidRPr="00FF65CF">
        <w:t xml:space="preserve"> Я.Э., </w:t>
      </w:r>
      <w:r w:rsidR="00FB6928" w:rsidRPr="005252F4">
        <w:t>Теребул</w:t>
      </w:r>
      <w:r w:rsidR="00CB4266">
        <w:t xml:space="preserve">ин С.С., </w:t>
      </w:r>
      <w:r w:rsidR="00FB6928" w:rsidRPr="005252F4">
        <w:t>Толстогузов С.Н</w:t>
      </w:r>
      <w:r w:rsidR="00FB6928" w:rsidRPr="00DB07D8">
        <w:t>.,</w:t>
      </w:r>
      <w:r w:rsidR="000F292F" w:rsidRPr="00DB07D8">
        <w:t xml:space="preserve"> </w:t>
      </w:r>
      <w:r w:rsidR="00CB4266">
        <w:t xml:space="preserve">       </w:t>
      </w:r>
      <w:proofErr w:type="spellStart"/>
      <w:r w:rsidR="00FB6928" w:rsidRPr="00DB07D8">
        <w:t>Финкель</w:t>
      </w:r>
      <w:proofErr w:type="spellEnd"/>
      <w:r w:rsidR="00FB6928" w:rsidRPr="00DB07D8">
        <w:t xml:space="preserve"> Д.В.</w:t>
      </w:r>
    </w:p>
    <w:p w:rsidR="007F079A" w:rsidRPr="00CB4266" w:rsidRDefault="00B507FA" w:rsidP="002F2B4C">
      <w:pPr>
        <w:widowControl w:val="0"/>
        <w:ind w:firstLine="567"/>
        <w:jc w:val="both"/>
      </w:pPr>
      <w:r w:rsidRPr="005252F4">
        <w:t>Члены Совета директоров П</w:t>
      </w:r>
      <w:r w:rsidR="00B76446" w:rsidRPr="005252F4">
        <w:t xml:space="preserve">АО «РАО </w:t>
      </w:r>
      <w:r w:rsidRPr="005252F4">
        <w:t xml:space="preserve">ЭС </w:t>
      </w:r>
      <w:r w:rsidR="00B76446" w:rsidRPr="005252F4">
        <w:t>Востока»,</w:t>
      </w:r>
      <w:r w:rsidRPr="005252F4">
        <w:t xml:space="preserve"> </w:t>
      </w:r>
      <w:r w:rsidR="00B76446" w:rsidRPr="005252F4">
        <w:t>не представившие опросный лист по вопрос</w:t>
      </w:r>
      <w:r w:rsidR="0049085C" w:rsidRPr="005252F4">
        <w:t>ам повестки дня заседания:</w:t>
      </w:r>
      <w:r w:rsidR="007F079A" w:rsidRPr="005252F4">
        <w:t xml:space="preserve"> </w:t>
      </w:r>
      <w:proofErr w:type="spellStart"/>
      <w:r w:rsidR="007F10F7" w:rsidRPr="00CB4266">
        <w:t>Дод</w:t>
      </w:r>
      <w:proofErr w:type="spellEnd"/>
      <w:r w:rsidR="007F10F7" w:rsidRPr="00CB4266">
        <w:t xml:space="preserve"> Е.В.</w:t>
      </w:r>
      <w:r w:rsidR="00CB4266" w:rsidRPr="00CB4266">
        <w:t>,</w:t>
      </w:r>
      <w:r w:rsidR="00176A90" w:rsidRPr="00CB4266">
        <w:t xml:space="preserve"> </w:t>
      </w:r>
      <w:r w:rsidR="00CB4266" w:rsidRPr="00CB4266">
        <w:t>Кожемяко О.Н.</w:t>
      </w:r>
    </w:p>
    <w:p w:rsidR="002C09DC" w:rsidRPr="00B11A03" w:rsidRDefault="0049085C" w:rsidP="002F2B4C">
      <w:pPr>
        <w:widowControl w:val="0"/>
        <w:ind w:firstLine="567"/>
        <w:jc w:val="both"/>
      </w:pPr>
      <w:r w:rsidRPr="005C0B74">
        <w:rPr>
          <w:color w:val="FF0000"/>
        </w:rPr>
        <w:t xml:space="preserve"> </w:t>
      </w:r>
      <w:r w:rsidR="002C09DC" w:rsidRPr="00B11A03">
        <w:t>К</w:t>
      </w:r>
      <w:r w:rsidR="00850355" w:rsidRPr="00B11A03">
        <w:t xml:space="preserve">ворум </w:t>
      </w:r>
      <w:r w:rsidR="002C09DC" w:rsidRPr="00B11A03">
        <w:t>для проведения заседания Совета директоров</w:t>
      </w:r>
      <w:r w:rsidR="00A6540A" w:rsidRPr="00B11A03">
        <w:t xml:space="preserve"> </w:t>
      </w:r>
      <w:r w:rsidR="006F41F7">
        <w:t>П</w:t>
      </w:r>
      <w:r w:rsidR="002C09DC" w:rsidRPr="00B11A03">
        <w:t xml:space="preserve">АО «РАО </w:t>
      </w:r>
      <w:r w:rsidR="006F41F7">
        <w:t xml:space="preserve">ЭС </w:t>
      </w:r>
      <w:r w:rsidR="002C09DC"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D325E4" w:rsidRPr="00D325E4" w:rsidRDefault="00D325E4" w:rsidP="00D325E4">
      <w:pPr>
        <w:ind w:firstLine="567"/>
        <w:jc w:val="both"/>
        <w:rPr>
          <w:szCs w:val="28"/>
        </w:rPr>
      </w:pPr>
      <w:r w:rsidRPr="00D325E4">
        <w:rPr>
          <w:rFonts w:eastAsia="Lucida Sans Unicode"/>
          <w:b/>
          <w:kern w:val="1"/>
          <w:szCs w:val="28"/>
        </w:rPr>
        <w:t>Вопрос № 1:</w:t>
      </w:r>
      <w:r w:rsidRPr="00D325E4">
        <w:rPr>
          <w:rFonts w:eastAsia="Lucida Sans Unicode"/>
          <w:b/>
          <w:kern w:val="1"/>
          <w:szCs w:val="28"/>
          <w:lang w:eastAsia="en-US"/>
        </w:rPr>
        <w:t xml:space="preserve"> </w:t>
      </w:r>
      <w:bookmarkStart w:id="1" w:name="OLE_LINK1"/>
      <w:bookmarkStart w:id="2" w:name="OLE_LINK4"/>
      <w:bookmarkStart w:id="3" w:name="OLE_LINK3"/>
      <w:r w:rsidRPr="00D325E4">
        <w:rPr>
          <w:szCs w:val="28"/>
        </w:rPr>
        <w:t xml:space="preserve">Об определении кредитной политики Общества: </w:t>
      </w:r>
    </w:p>
    <w:p w:rsidR="00D325E4" w:rsidRPr="00D325E4" w:rsidRDefault="00D325E4" w:rsidP="00D325E4">
      <w:pPr>
        <w:widowControl w:val="0"/>
        <w:numPr>
          <w:ilvl w:val="1"/>
          <w:numId w:val="49"/>
        </w:numPr>
        <w:tabs>
          <w:tab w:val="left" w:pos="851"/>
          <w:tab w:val="left" w:pos="993"/>
        </w:tabs>
        <w:suppressAutoHyphens/>
        <w:ind w:left="0" w:firstLine="567"/>
        <w:jc w:val="both"/>
        <w:rPr>
          <w:rFonts w:eastAsia="Lucida Sans Unicode"/>
          <w:kern w:val="1"/>
          <w:sz w:val="26"/>
          <w:szCs w:val="26"/>
          <w:lang w:eastAsia="en-US"/>
        </w:rPr>
      </w:pPr>
      <w:r w:rsidRPr="00D325E4">
        <w:rPr>
          <w:szCs w:val="28"/>
        </w:rPr>
        <w:t xml:space="preserve"> Об одобрении Дополнительного соглашения № 2 к договору об открытии </w:t>
      </w:r>
      <w:proofErr w:type="spellStart"/>
      <w:r w:rsidRPr="00D325E4">
        <w:rPr>
          <w:szCs w:val="28"/>
        </w:rPr>
        <w:t>невозобновляемой</w:t>
      </w:r>
      <w:proofErr w:type="spellEnd"/>
      <w:r w:rsidRPr="00D325E4">
        <w:rPr>
          <w:szCs w:val="28"/>
        </w:rPr>
        <w:t xml:space="preserve"> кредитной линии, заключенному ПАО «РАО ЭС Востока» с ПАО Сбербанк по проектному финансированию проекта «Строительство объектов внеплощадочной инфраструктуры для ТЭЦ в г. Советская Гавань»</w:t>
      </w:r>
      <w:bookmarkEnd w:id="1"/>
      <w:bookmarkEnd w:id="2"/>
      <w:bookmarkEnd w:id="3"/>
      <w:r w:rsidRPr="00D325E4">
        <w:rPr>
          <w:szCs w:val="28"/>
        </w:rPr>
        <w:t>.</w:t>
      </w:r>
    </w:p>
    <w:p w:rsidR="00D325E4" w:rsidRPr="00D325E4" w:rsidRDefault="00D325E4" w:rsidP="00D325E4">
      <w:pPr>
        <w:widowControl w:val="0"/>
        <w:suppressAutoHyphens/>
        <w:ind w:firstLine="567"/>
        <w:jc w:val="both"/>
        <w:rPr>
          <w:szCs w:val="28"/>
        </w:rPr>
      </w:pPr>
      <w:r w:rsidRPr="00D325E4">
        <w:rPr>
          <w:b/>
          <w:szCs w:val="28"/>
        </w:rPr>
        <w:t>1.2.</w:t>
      </w:r>
      <w:r w:rsidRPr="00D325E4">
        <w:rPr>
          <w:szCs w:val="28"/>
        </w:rPr>
        <w:t xml:space="preserve"> Об одобрении договора о предоставлении государственной гарантии Российской Федерации, заключаемого между Министерством финансов Российской Федерации, Государственной корпорацией «Банк развития и внешнеэкономической деятельности (Внешэкономбанк)», Публичным акционерным обществом «Сбербанк России»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договору, заключенному с Публичным акционерным обществом «Сбербанк России» для финансирования проекта «</w:t>
      </w:r>
      <w:r w:rsidRPr="00D325E4">
        <w:rPr>
          <w:rFonts w:eastAsia="Lucida Sans Unicode"/>
          <w:kern w:val="1"/>
          <w:szCs w:val="28"/>
          <w:lang w:eastAsia="en-US"/>
        </w:rPr>
        <w:t>Строительство объектов внеплощадочной инфраструктуры для ТЭЦ в г. Советская Гавань</w:t>
      </w:r>
      <w:r w:rsidRPr="00D325E4">
        <w:rPr>
          <w:szCs w:val="28"/>
        </w:rPr>
        <w:t>».</w:t>
      </w:r>
    </w:p>
    <w:p w:rsidR="00D325E4" w:rsidRPr="00D325E4" w:rsidRDefault="00D325E4" w:rsidP="00D325E4">
      <w:pPr>
        <w:widowControl w:val="0"/>
        <w:suppressAutoHyphens/>
        <w:ind w:firstLine="567"/>
        <w:jc w:val="both"/>
        <w:rPr>
          <w:szCs w:val="28"/>
        </w:rPr>
      </w:pPr>
      <w:r w:rsidRPr="00D325E4">
        <w:rPr>
          <w:b/>
          <w:szCs w:val="28"/>
        </w:rPr>
        <w:t>1.3.</w:t>
      </w:r>
      <w:r w:rsidRPr="00D325E4">
        <w:rPr>
          <w:szCs w:val="28"/>
        </w:rPr>
        <w:t xml:space="preserve"> </w:t>
      </w:r>
      <w:proofErr w:type="gramStart"/>
      <w:r w:rsidRPr="00D325E4">
        <w:rPr>
          <w:szCs w:val="28"/>
        </w:rPr>
        <w:t>Об одобрении договора о предоставлении государственной гарантии Российской Федерации, заключаемого между Министерством финансов Российской Федерации, Государственной корпорацией «Банк развития и внешнеэкономической деятельности (Внешэкономбанк)», Банком ВТБ (публичное акционерное общество)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соглашению, заключенному с Банком ВТБ (публичное акционерное общество) для финансирования проекта</w:t>
      </w:r>
      <w:proofErr w:type="gramEnd"/>
      <w:r w:rsidRPr="00D325E4">
        <w:rPr>
          <w:szCs w:val="28"/>
        </w:rPr>
        <w:t xml:space="preserve"> «Строительство объектов внеплощадочной инфраструктуры </w:t>
      </w:r>
      <w:proofErr w:type="gramStart"/>
      <w:r w:rsidRPr="00D325E4">
        <w:rPr>
          <w:szCs w:val="28"/>
        </w:rPr>
        <w:t>для</w:t>
      </w:r>
      <w:proofErr w:type="gramEnd"/>
      <w:r w:rsidRPr="00D325E4">
        <w:rPr>
          <w:szCs w:val="28"/>
        </w:rPr>
        <w:t xml:space="preserve"> Якутской ГРЭС-2 (1-я очередь)».</w:t>
      </w:r>
    </w:p>
    <w:p w:rsidR="00637D6D" w:rsidRPr="00B11A03" w:rsidRDefault="00637D6D" w:rsidP="003900BD">
      <w:pPr>
        <w:pStyle w:val="31"/>
        <w:spacing w:before="240" w:line="360" w:lineRule="auto"/>
        <w:ind w:firstLine="0"/>
        <w:jc w:val="center"/>
        <w:rPr>
          <w:b/>
          <w:szCs w:val="28"/>
        </w:rPr>
      </w:pPr>
      <w:r w:rsidRPr="00B11A03">
        <w:rPr>
          <w:b/>
          <w:szCs w:val="28"/>
        </w:rPr>
        <w:lastRenderedPageBreak/>
        <w:t>Подведение итогов голосования и принятые решения:</w:t>
      </w:r>
    </w:p>
    <w:p w:rsidR="00D325E4" w:rsidRPr="00D325E4" w:rsidRDefault="00B6744F" w:rsidP="00D325E4">
      <w:pPr>
        <w:pStyle w:val="32"/>
        <w:ind w:firstLine="567"/>
        <w:rPr>
          <w:szCs w:val="28"/>
        </w:rPr>
      </w:pPr>
      <w:r w:rsidRPr="00B6744F">
        <w:rPr>
          <w:rFonts w:eastAsia="Lucida Sans Unicode"/>
          <w:b/>
          <w:kern w:val="1"/>
          <w:szCs w:val="28"/>
        </w:rPr>
        <w:t xml:space="preserve">Вопрос № 1: </w:t>
      </w:r>
      <w:r w:rsidR="00D325E4" w:rsidRPr="00D325E4">
        <w:rPr>
          <w:szCs w:val="28"/>
        </w:rPr>
        <w:t xml:space="preserve">Об определении кредитной политики Общества: </w:t>
      </w:r>
    </w:p>
    <w:p w:rsidR="00D325E4" w:rsidRPr="00D325E4" w:rsidRDefault="00FC7E7A" w:rsidP="00FC7E7A">
      <w:pPr>
        <w:widowControl w:val="0"/>
        <w:tabs>
          <w:tab w:val="left" w:pos="851"/>
          <w:tab w:val="left" w:pos="993"/>
        </w:tabs>
        <w:suppressAutoHyphens/>
        <w:ind w:firstLine="567"/>
        <w:jc w:val="both"/>
        <w:rPr>
          <w:rFonts w:eastAsia="Lucida Sans Unicode"/>
          <w:kern w:val="1"/>
          <w:sz w:val="26"/>
          <w:szCs w:val="26"/>
          <w:lang w:eastAsia="en-US"/>
        </w:rPr>
      </w:pPr>
      <w:r w:rsidRPr="00FC7E7A">
        <w:rPr>
          <w:b/>
          <w:szCs w:val="28"/>
        </w:rPr>
        <w:t>1.1.</w:t>
      </w:r>
      <w:r w:rsidR="00D325E4" w:rsidRPr="00D325E4">
        <w:rPr>
          <w:szCs w:val="28"/>
        </w:rPr>
        <w:t xml:space="preserve"> Об одобрении Дополнительного соглашения № 2 к договору об открытии </w:t>
      </w:r>
      <w:proofErr w:type="spellStart"/>
      <w:r w:rsidR="00D325E4" w:rsidRPr="00D325E4">
        <w:rPr>
          <w:szCs w:val="28"/>
        </w:rPr>
        <w:t>невозобновляемой</w:t>
      </w:r>
      <w:proofErr w:type="spellEnd"/>
      <w:r w:rsidR="00D325E4" w:rsidRPr="00D325E4">
        <w:rPr>
          <w:szCs w:val="28"/>
        </w:rPr>
        <w:t xml:space="preserve"> кредитной линии, заключенному ПАО «РАО ЭС Востока» с ПАО Сбербанк по проектному финансированию проекта «Строительство объектов внеплощадочной инфраструктуры для ТЭЦ в г. Советская Гавань».</w:t>
      </w:r>
    </w:p>
    <w:p w:rsidR="00BF5E7C" w:rsidRPr="00BF5E7C" w:rsidRDefault="00BF5E7C" w:rsidP="00BF5E7C">
      <w:pPr>
        <w:ind w:firstLine="567"/>
        <w:jc w:val="both"/>
        <w:rPr>
          <w:rFonts w:eastAsia="Lucida Sans Unicode"/>
          <w:kern w:val="1"/>
          <w:szCs w:val="28"/>
        </w:rPr>
      </w:pPr>
    </w:p>
    <w:p w:rsidR="003010BC" w:rsidRDefault="003010BC" w:rsidP="003900BD">
      <w:pPr>
        <w:spacing w:after="120"/>
        <w:ind w:left="567"/>
        <w:jc w:val="both"/>
        <w:rPr>
          <w:b/>
          <w:spacing w:val="-2"/>
          <w:szCs w:val="28"/>
        </w:rPr>
      </w:pPr>
      <w:r w:rsidRPr="00B11A03">
        <w:rPr>
          <w:b/>
          <w:spacing w:val="-2"/>
          <w:szCs w:val="28"/>
        </w:rPr>
        <w:t>Решение:</w:t>
      </w:r>
    </w:p>
    <w:p w:rsidR="00D325E4" w:rsidRPr="00D325E4" w:rsidRDefault="00D325E4" w:rsidP="00D325E4">
      <w:pPr>
        <w:ind w:firstLine="567"/>
        <w:jc w:val="both"/>
        <w:rPr>
          <w:szCs w:val="28"/>
        </w:rPr>
      </w:pPr>
      <w:r w:rsidRPr="00D325E4">
        <w:rPr>
          <w:szCs w:val="28"/>
        </w:rPr>
        <w:t xml:space="preserve">Одобрить Дополнительное соглашение № 2 от 02.11.2015 к Договору </w:t>
      </w:r>
      <w:r w:rsidRPr="00D325E4">
        <w:rPr>
          <w:szCs w:val="28"/>
        </w:rPr>
        <w:br/>
        <w:t xml:space="preserve">№ 900150012 об открытии </w:t>
      </w:r>
      <w:proofErr w:type="spellStart"/>
      <w:r w:rsidRPr="00D325E4">
        <w:rPr>
          <w:szCs w:val="28"/>
        </w:rPr>
        <w:t>невозобновляемой</w:t>
      </w:r>
      <w:proofErr w:type="spellEnd"/>
      <w:r w:rsidRPr="00D325E4">
        <w:rPr>
          <w:szCs w:val="28"/>
        </w:rPr>
        <w:t xml:space="preserve"> кредитной линии, заключенному ПАО «РАО ЭС Востока» с ПАО Сбербанк 30.09.2015 (далее – Дополнительное соглашение, Договор), в том числе как сделку, совершенную до даты получения добровольного предложения, на следующих существенных  условиях:</w:t>
      </w:r>
    </w:p>
    <w:p w:rsidR="00D325E4" w:rsidRPr="00D325E4" w:rsidRDefault="00D325E4" w:rsidP="00D325E4">
      <w:pPr>
        <w:ind w:firstLine="567"/>
        <w:jc w:val="both"/>
        <w:outlineLvl w:val="0"/>
        <w:rPr>
          <w:i/>
          <w:szCs w:val="28"/>
          <w:u w:val="single"/>
        </w:rPr>
      </w:pPr>
      <w:r w:rsidRPr="00D325E4">
        <w:rPr>
          <w:i/>
          <w:szCs w:val="28"/>
          <w:u w:val="single"/>
        </w:rPr>
        <w:t>Стороны Дополнительного соглашения:</w:t>
      </w:r>
    </w:p>
    <w:p w:rsidR="00D325E4" w:rsidRPr="00D325E4" w:rsidRDefault="00D325E4" w:rsidP="00D325E4">
      <w:pPr>
        <w:ind w:firstLine="567"/>
        <w:jc w:val="both"/>
        <w:outlineLvl w:val="0"/>
        <w:rPr>
          <w:szCs w:val="28"/>
        </w:rPr>
      </w:pPr>
      <w:r w:rsidRPr="00D325E4">
        <w:rPr>
          <w:szCs w:val="28"/>
        </w:rPr>
        <w:t xml:space="preserve">Кредитор – ПАО Сбербанк, являющийся Уполномоченным банком, отобранный Центральным банком Российской Федерации в соответствии с постановлением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w:t>
      </w:r>
      <w:proofErr w:type="gramStart"/>
      <w:r w:rsidRPr="00D325E4">
        <w:rPr>
          <w:szCs w:val="28"/>
        </w:rPr>
        <w:t>Федерации</w:t>
      </w:r>
      <w:proofErr w:type="gramEnd"/>
      <w:r w:rsidRPr="00D325E4">
        <w:rPr>
          <w:szCs w:val="28"/>
        </w:rPr>
        <w:t xml:space="preserve"> на основе проектного финансирования»;</w:t>
      </w:r>
    </w:p>
    <w:p w:rsidR="00D325E4" w:rsidRPr="00D325E4" w:rsidRDefault="00D325E4" w:rsidP="00D325E4">
      <w:pPr>
        <w:ind w:firstLine="567"/>
        <w:jc w:val="both"/>
        <w:outlineLvl w:val="0"/>
        <w:rPr>
          <w:szCs w:val="28"/>
        </w:rPr>
      </w:pPr>
      <w:r w:rsidRPr="00D325E4">
        <w:rPr>
          <w:szCs w:val="28"/>
        </w:rPr>
        <w:t>Заемщик - ПАО «РАО ЭС  Востока».</w:t>
      </w:r>
    </w:p>
    <w:p w:rsidR="00D325E4" w:rsidRPr="00D325E4" w:rsidRDefault="00D325E4" w:rsidP="00D325E4">
      <w:pPr>
        <w:ind w:firstLine="567"/>
        <w:jc w:val="both"/>
        <w:outlineLvl w:val="0"/>
        <w:rPr>
          <w:i/>
          <w:szCs w:val="28"/>
          <w:u w:val="single"/>
        </w:rPr>
      </w:pPr>
      <w:r w:rsidRPr="00D325E4">
        <w:rPr>
          <w:i/>
          <w:szCs w:val="28"/>
          <w:u w:val="single"/>
        </w:rPr>
        <w:t>Предмет Дополнительного соглашения:</w:t>
      </w:r>
    </w:p>
    <w:p w:rsidR="00D325E4" w:rsidRPr="00D325E4" w:rsidRDefault="00D325E4" w:rsidP="00D325E4">
      <w:pPr>
        <w:ind w:firstLine="567"/>
        <w:jc w:val="both"/>
        <w:outlineLvl w:val="0"/>
        <w:rPr>
          <w:szCs w:val="28"/>
        </w:rPr>
      </w:pPr>
      <w:r w:rsidRPr="00D325E4">
        <w:rPr>
          <w:szCs w:val="28"/>
        </w:rPr>
        <w:t>Внесение следующих изменений в Договор (в части условий, ранее одобренных Советом директоров):</w:t>
      </w:r>
    </w:p>
    <w:p w:rsidR="00D325E4" w:rsidRPr="00D325E4" w:rsidRDefault="00D325E4" w:rsidP="00D325E4">
      <w:pPr>
        <w:numPr>
          <w:ilvl w:val="0"/>
          <w:numId w:val="50"/>
        </w:numPr>
        <w:tabs>
          <w:tab w:val="left" w:pos="851"/>
        </w:tabs>
        <w:ind w:left="0" w:firstLine="567"/>
        <w:jc w:val="both"/>
        <w:outlineLvl w:val="0"/>
        <w:rPr>
          <w:szCs w:val="28"/>
        </w:rPr>
      </w:pPr>
      <w:r w:rsidRPr="00D325E4">
        <w:rPr>
          <w:szCs w:val="28"/>
        </w:rPr>
        <w:t>Абзац.1 п. 4.1.2 Договора изменить и изложить в следующей редакции:</w:t>
      </w:r>
    </w:p>
    <w:p w:rsidR="00D325E4" w:rsidRPr="00D325E4" w:rsidRDefault="00D325E4" w:rsidP="00D325E4">
      <w:pPr>
        <w:ind w:firstLine="567"/>
        <w:jc w:val="both"/>
        <w:outlineLvl w:val="0"/>
        <w:rPr>
          <w:szCs w:val="28"/>
        </w:rPr>
      </w:pPr>
      <w:r w:rsidRPr="00D325E4">
        <w:rPr>
          <w:szCs w:val="28"/>
        </w:rPr>
        <w:t xml:space="preserve">«4.1.2. </w:t>
      </w:r>
      <w:proofErr w:type="gramStart"/>
      <w:r w:rsidRPr="00D325E4">
        <w:rPr>
          <w:szCs w:val="28"/>
        </w:rPr>
        <w:t>В случае прекращения рефинансирования кредита Банком России по Программе по Договору и расторжения договора о предоставлении государственной гарантии Российской Федерации (прекращения действия государственной гарантии Российской Федерации), указанной в п. 9.1.1 Договора, по любым основаниям, предусмотренным действующим законодательством Российской Федерации и государственной гарантией Российской Федерации, Заемщик уплачивает проценты за пользование кредитом в валюте кредита за период с даты прекращения рефинансирования кредита</w:t>
      </w:r>
      <w:proofErr w:type="gramEnd"/>
      <w:r w:rsidRPr="00D325E4">
        <w:rPr>
          <w:szCs w:val="28"/>
        </w:rPr>
        <w:t xml:space="preserve"> </w:t>
      </w:r>
      <w:proofErr w:type="gramStart"/>
      <w:r w:rsidRPr="00D325E4">
        <w:rPr>
          <w:szCs w:val="28"/>
        </w:rPr>
        <w:t xml:space="preserve">Банком России по Программе (не включая эту дату) по дату полного погашения кредита, указанную в п. 6.1 Договора (включительно), – по плавающей Базовой процентной ставке, размер которой устанавливается исходя из ставки </w:t>
      </w:r>
      <w:proofErr w:type="spellStart"/>
      <w:r w:rsidRPr="00D325E4">
        <w:rPr>
          <w:szCs w:val="28"/>
        </w:rPr>
        <w:t>MosPrime</w:t>
      </w:r>
      <w:proofErr w:type="spellEnd"/>
      <w:r w:rsidRPr="00D325E4">
        <w:rPr>
          <w:szCs w:val="28"/>
        </w:rPr>
        <w:t xml:space="preserve"> 3M на дату котировки (дата, предшествующая дате прекращения рефинансирования кредита Банком России по Программе за 1 (Один) рабочий день (включительно)) плюс 3 (Три) процента годовых (фиксированная маржа)». </w:t>
      </w:r>
      <w:proofErr w:type="gramEnd"/>
    </w:p>
    <w:p w:rsidR="00D325E4" w:rsidRPr="00D325E4" w:rsidRDefault="00D325E4" w:rsidP="00D325E4">
      <w:pPr>
        <w:ind w:firstLine="567"/>
        <w:jc w:val="both"/>
        <w:outlineLvl w:val="0"/>
        <w:rPr>
          <w:i/>
          <w:szCs w:val="28"/>
          <w:u w:val="single"/>
        </w:rPr>
      </w:pPr>
      <w:r w:rsidRPr="00D325E4">
        <w:rPr>
          <w:i/>
          <w:szCs w:val="28"/>
          <w:u w:val="single"/>
        </w:rPr>
        <w:t>Цена Дополнительного соглашения:</w:t>
      </w:r>
    </w:p>
    <w:p w:rsidR="00D325E4" w:rsidRPr="00D325E4" w:rsidRDefault="00D325E4" w:rsidP="00D325E4">
      <w:pPr>
        <w:ind w:firstLine="567"/>
        <w:jc w:val="both"/>
        <w:outlineLvl w:val="0"/>
        <w:rPr>
          <w:szCs w:val="28"/>
        </w:rPr>
      </w:pPr>
      <w:r w:rsidRPr="00D325E4">
        <w:rPr>
          <w:szCs w:val="28"/>
        </w:rPr>
        <w:t>Не определяется в связи с существом сделки.</w:t>
      </w:r>
    </w:p>
    <w:p w:rsidR="00D325E4" w:rsidRPr="00D325E4" w:rsidRDefault="00D325E4" w:rsidP="00D325E4">
      <w:pPr>
        <w:ind w:firstLine="567"/>
        <w:jc w:val="both"/>
        <w:outlineLvl w:val="0"/>
        <w:rPr>
          <w:i/>
          <w:szCs w:val="28"/>
          <w:u w:val="single"/>
        </w:rPr>
      </w:pPr>
      <w:r w:rsidRPr="00D325E4">
        <w:rPr>
          <w:i/>
          <w:szCs w:val="28"/>
          <w:u w:val="single"/>
        </w:rPr>
        <w:t>Срок действия Дополнительного соглашения:</w:t>
      </w:r>
    </w:p>
    <w:p w:rsidR="00D325E4" w:rsidRPr="00D325E4" w:rsidRDefault="00D325E4" w:rsidP="00D325E4">
      <w:pPr>
        <w:ind w:firstLine="567"/>
        <w:jc w:val="both"/>
        <w:outlineLvl w:val="0"/>
        <w:rPr>
          <w:szCs w:val="28"/>
        </w:rPr>
      </w:pPr>
      <w:r w:rsidRPr="00D325E4">
        <w:rPr>
          <w:szCs w:val="28"/>
        </w:rPr>
        <w:t>Дополнительное соглашение вступает в силу с 02.11.2015, является неотъемлемой частью Договора.</w:t>
      </w:r>
    </w:p>
    <w:p w:rsidR="0019500E" w:rsidRDefault="0019500E" w:rsidP="003010BC">
      <w:pPr>
        <w:ind w:firstLine="567"/>
        <w:jc w:val="both"/>
        <w:rPr>
          <w:b/>
          <w:szCs w:val="28"/>
        </w:rPr>
      </w:pPr>
    </w:p>
    <w:p w:rsidR="003010BC" w:rsidRPr="00B11A03" w:rsidRDefault="00AB4921" w:rsidP="003010BC">
      <w:pPr>
        <w:ind w:firstLine="567"/>
        <w:jc w:val="both"/>
        <w:rPr>
          <w:b/>
          <w:bCs/>
          <w:i/>
          <w:szCs w:val="28"/>
        </w:rPr>
      </w:pPr>
      <w:r w:rsidRPr="00AB4921">
        <w:rPr>
          <w:bCs/>
          <w:szCs w:val="28"/>
        </w:rPr>
        <w:t>По итогам голосования</w:t>
      </w:r>
      <w:r>
        <w:rPr>
          <w:b/>
          <w:bCs/>
          <w:i/>
          <w:szCs w:val="28"/>
        </w:rPr>
        <w:t xml:space="preserve"> р</w:t>
      </w:r>
      <w:r w:rsidR="003010BC" w:rsidRPr="00B11A03">
        <w:rPr>
          <w:b/>
          <w:bCs/>
          <w:i/>
          <w:szCs w:val="28"/>
        </w:rPr>
        <w:t>ешение принято.</w:t>
      </w:r>
    </w:p>
    <w:p w:rsidR="00E624BE" w:rsidRPr="00E624BE" w:rsidRDefault="00E624BE" w:rsidP="00E624BE">
      <w:pPr>
        <w:widowControl w:val="0"/>
        <w:suppressAutoHyphens/>
        <w:ind w:firstLine="567"/>
        <w:jc w:val="both"/>
        <w:rPr>
          <w:szCs w:val="28"/>
        </w:rPr>
      </w:pPr>
      <w:r w:rsidRPr="00E624BE">
        <w:rPr>
          <w:b/>
          <w:szCs w:val="28"/>
        </w:rPr>
        <w:lastRenderedPageBreak/>
        <w:t>1.2.</w:t>
      </w:r>
      <w:r w:rsidRPr="00E624BE">
        <w:rPr>
          <w:szCs w:val="28"/>
        </w:rPr>
        <w:t xml:space="preserve"> </w:t>
      </w:r>
      <w:proofErr w:type="gramStart"/>
      <w:r w:rsidRPr="00E624BE">
        <w:rPr>
          <w:szCs w:val="28"/>
        </w:rPr>
        <w:t>Об одобрении договора о предоставлении государственной гарантии Российской Федерации, заключаемого между Министерством финансов Российской Федерации, Государственной корпорацией «Банк развития и внешнеэкономической деятельности (Внешэкономбанк)», Публичным акционерным обществом «Сбербанк России»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договору, заключенному с Публичным акционерным обществом «Сбербанк России» для финансирования проекта</w:t>
      </w:r>
      <w:proofErr w:type="gramEnd"/>
      <w:r w:rsidRPr="00E624BE">
        <w:rPr>
          <w:szCs w:val="28"/>
        </w:rPr>
        <w:t xml:space="preserve"> «</w:t>
      </w:r>
      <w:r w:rsidRPr="00E624BE">
        <w:rPr>
          <w:rFonts w:eastAsia="Lucida Sans Unicode"/>
          <w:kern w:val="1"/>
          <w:szCs w:val="28"/>
          <w:lang w:eastAsia="en-US"/>
        </w:rPr>
        <w:t>Строительство объектов внеплощадочной инфраструктуры для ТЭЦ в г. Советская Гавань</w:t>
      </w:r>
      <w:r w:rsidRPr="00E624BE">
        <w:rPr>
          <w:szCs w:val="28"/>
        </w:rPr>
        <w:t>».</w:t>
      </w:r>
    </w:p>
    <w:p w:rsidR="00694676" w:rsidRPr="00694676" w:rsidRDefault="00694676" w:rsidP="00466614">
      <w:pPr>
        <w:ind w:firstLine="567"/>
        <w:jc w:val="both"/>
        <w:rPr>
          <w:szCs w:val="28"/>
        </w:rPr>
      </w:pPr>
    </w:p>
    <w:p w:rsidR="00BF5E7C" w:rsidRDefault="00BF5E7C" w:rsidP="00BF5E7C">
      <w:pPr>
        <w:spacing w:after="120"/>
        <w:ind w:left="567"/>
        <w:jc w:val="both"/>
        <w:rPr>
          <w:b/>
          <w:spacing w:val="-2"/>
          <w:szCs w:val="28"/>
        </w:rPr>
      </w:pPr>
      <w:r w:rsidRPr="00B11A03">
        <w:rPr>
          <w:b/>
          <w:spacing w:val="-2"/>
          <w:szCs w:val="28"/>
        </w:rPr>
        <w:t>Решение:</w:t>
      </w:r>
    </w:p>
    <w:p w:rsidR="00E624BE" w:rsidRPr="00E624BE" w:rsidRDefault="00E624BE" w:rsidP="00E624BE">
      <w:pPr>
        <w:ind w:firstLine="567"/>
        <w:jc w:val="both"/>
        <w:rPr>
          <w:szCs w:val="28"/>
        </w:rPr>
      </w:pPr>
      <w:proofErr w:type="gramStart"/>
      <w:r w:rsidRPr="00E624BE">
        <w:rPr>
          <w:szCs w:val="28"/>
        </w:rPr>
        <w:t>Одобрить Договор о предоставлении государственной гарантии Российской Федерации, заключаемый между Министерством финансов Российской Федерации, Государственной корпорацией «Банк развития и внешнеэкономической деятельности (Внешэкономбанк)», Публичным акционерным обществом «Сбербанк России»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договору, заключенному с Публичным акционерным обществом «Сбербанк России» для финансирования проекта «Строительство</w:t>
      </w:r>
      <w:proofErr w:type="gramEnd"/>
      <w:r w:rsidRPr="00E624BE">
        <w:rPr>
          <w:szCs w:val="28"/>
        </w:rPr>
        <w:t xml:space="preserve"> объектов внеплощадочной инфраструктуры для ТЭЦ в г. Советская Гавань» (далее - Договор), на следующих существенных  условиях:</w:t>
      </w:r>
    </w:p>
    <w:p w:rsidR="00E624BE" w:rsidRPr="00E624BE" w:rsidRDefault="00E624BE" w:rsidP="00E624BE">
      <w:pPr>
        <w:ind w:firstLine="567"/>
        <w:jc w:val="both"/>
        <w:outlineLvl w:val="0"/>
        <w:rPr>
          <w:i/>
          <w:szCs w:val="28"/>
          <w:u w:val="single"/>
        </w:rPr>
      </w:pPr>
      <w:r w:rsidRPr="00E624BE">
        <w:rPr>
          <w:i/>
          <w:szCs w:val="28"/>
          <w:u w:val="single"/>
        </w:rPr>
        <w:t>Стороны Договора:</w:t>
      </w:r>
    </w:p>
    <w:p w:rsidR="00E624BE" w:rsidRPr="00E624BE" w:rsidRDefault="00E624BE" w:rsidP="00E624BE">
      <w:pPr>
        <w:ind w:firstLine="567"/>
        <w:jc w:val="both"/>
        <w:outlineLvl w:val="0"/>
        <w:rPr>
          <w:szCs w:val="28"/>
        </w:rPr>
      </w:pPr>
      <w:r w:rsidRPr="00E624BE">
        <w:rPr>
          <w:szCs w:val="28"/>
        </w:rPr>
        <w:t xml:space="preserve">Гарант – Российская Федерация в лице Министерства финансов Российской Федерации; </w:t>
      </w:r>
    </w:p>
    <w:p w:rsidR="00E624BE" w:rsidRPr="00E624BE" w:rsidRDefault="00E624BE" w:rsidP="00E624BE">
      <w:pPr>
        <w:ind w:firstLine="567"/>
        <w:jc w:val="both"/>
        <w:outlineLvl w:val="0"/>
        <w:rPr>
          <w:szCs w:val="28"/>
        </w:rPr>
      </w:pPr>
      <w:r w:rsidRPr="00E624BE">
        <w:rPr>
          <w:szCs w:val="28"/>
        </w:rPr>
        <w:t>Принципал - Публичное акционерное общество «РАО Энергетические системы Востока»;</w:t>
      </w:r>
    </w:p>
    <w:p w:rsidR="00E624BE" w:rsidRPr="00E624BE" w:rsidRDefault="00E624BE" w:rsidP="00E624BE">
      <w:pPr>
        <w:ind w:firstLine="567"/>
        <w:jc w:val="both"/>
        <w:outlineLvl w:val="0"/>
        <w:rPr>
          <w:szCs w:val="28"/>
        </w:rPr>
      </w:pPr>
      <w:r w:rsidRPr="00E624BE">
        <w:rPr>
          <w:szCs w:val="28"/>
        </w:rPr>
        <w:t>Бенефициар – Публичное акционерное общество «Сбербанк России»;</w:t>
      </w:r>
    </w:p>
    <w:p w:rsidR="00E624BE" w:rsidRPr="00E624BE" w:rsidRDefault="00E624BE" w:rsidP="00E624BE">
      <w:pPr>
        <w:ind w:firstLine="567"/>
        <w:jc w:val="both"/>
        <w:outlineLvl w:val="0"/>
        <w:rPr>
          <w:szCs w:val="28"/>
        </w:rPr>
      </w:pPr>
      <w:r w:rsidRPr="00E624BE">
        <w:rPr>
          <w:szCs w:val="28"/>
        </w:rPr>
        <w:t>Агент Правительства Российской Федерации – Государственная корпорация «Банк развития и внешнеэкономической деятельности (Внешэкономбанк)».</w:t>
      </w:r>
    </w:p>
    <w:p w:rsidR="00E624BE" w:rsidRPr="00E624BE" w:rsidRDefault="00E624BE" w:rsidP="00E624BE">
      <w:pPr>
        <w:ind w:firstLine="567"/>
        <w:jc w:val="both"/>
        <w:outlineLvl w:val="0"/>
        <w:rPr>
          <w:i/>
          <w:szCs w:val="28"/>
          <w:u w:val="single"/>
        </w:rPr>
      </w:pPr>
      <w:r w:rsidRPr="00E624BE">
        <w:rPr>
          <w:i/>
          <w:szCs w:val="28"/>
          <w:u w:val="single"/>
        </w:rPr>
        <w:t>Предмет Договора:</w:t>
      </w:r>
    </w:p>
    <w:p w:rsidR="00E624BE" w:rsidRPr="00E624BE" w:rsidRDefault="00E624BE" w:rsidP="00E624BE">
      <w:pPr>
        <w:tabs>
          <w:tab w:val="left" w:pos="851"/>
        </w:tabs>
        <w:ind w:firstLine="567"/>
        <w:jc w:val="both"/>
        <w:rPr>
          <w:szCs w:val="28"/>
        </w:rPr>
      </w:pPr>
      <w:proofErr w:type="gramStart"/>
      <w:r w:rsidRPr="00E624BE">
        <w:rPr>
          <w:szCs w:val="28"/>
        </w:rPr>
        <w:t xml:space="preserve">Предоставление Российской Федерацией в лице Министерства финансов Российской Федерации государственной гарантии Российской Федерации в обеспечение исполнения обязательств Принципала перед Бенефициаром по договору об открытии </w:t>
      </w:r>
      <w:proofErr w:type="spellStart"/>
      <w:r w:rsidRPr="00E624BE">
        <w:rPr>
          <w:szCs w:val="28"/>
        </w:rPr>
        <w:t>невозобновляемой</w:t>
      </w:r>
      <w:proofErr w:type="spellEnd"/>
      <w:r w:rsidRPr="00E624BE">
        <w:rPr>
          <w:szCs w:val="28"/>
        </w:rPr>
        <w:t xml:space="preserve"> кредитной линии на сумму не более </w:t>
      </w:r>
      <w:r w:rsidRPr="00E624BE">
        <w:rPr>
          <w:rFonts w:eastAsia="Calibri"/>
          <w:szCs w:val="28"/>
        </w:rPr>
        <w:t>5 602 331 000 (Пять миллиардов шестьсот два миллиона триста тридцать одна тысяча) рублей</w:t>
      </w:r>
      <w:r w:rsidRPr="00E624BE">
        <w:rPr>
          <w:szCs w:val="28"/>
        </w:rPr>
        <w:t xml:space="preserve"> со сроком возврата кредита не позднее 29 сентября 2027 года с возможностью досрочного погашения, заключенному</w:t>
      </w:r>
      <w:proofErr w:type="gramEnd"/>
      <w:r w:rsidRPr="00E624BE">
        <w:rPr>
          <w:szCs w:val="28"/>
        </w:rPr>
        <w:t xml:space="preserve">  с Бенефициаром для финансирования проекта «Строительство объектов внеплощадочной инфраструктуры для ТЭЦ в г. Советская Гавань».</w:t>
      </w:r>
    </w:p>
    <w:p w:rsidR="00E624BE" w:rsidRPr="00E624BE" w:rsidRDefault="00E624BE" w:rsidP="00E624BE">
      <w:pPr>
        <w:ind w:firstLine="567"/>
        <w:jc w:val="both"/>
        <w:outlineLvl w:val="0"/>
        <w:rPr>
          <w:i/>
          <w:szCs w:val="28"/>
          <w:u w:val="single"/>
        </w:rPr>
      </w:pPr>
      <w:r w:rsidRPr="00E624BE">
        <w:rPr>
          <w:i/>
          <w:szCs w:val="28"/>
          <w:u w:val="single"/>
        </w:rPr>
        <w:t>Срок действия государственной гарантии:</w:t>
      </w:r>
    </w:p>
    <w:p w:rsidR="00E624BE" w:rsidRPr="00E624BE" w:rsidRDefault="00E624BE" w:rsidP="00E624BE">
      <w:pPr>
        <w:ind w:firstLine="567"/>
        <w:jc w:val="both"/>
        <w:outlineLvl w:val="0"/>
        <w:rPr>
          <w:b/>
          <w:szCs w:val="28"/>
        </w:rPr>
      </w:pPr>
      <w:r w:rsidRPr="00E624BE">
        <w:rPr>
          <w:szCs w:val="28"/>
        </w:rPr>
        <w:t>Установленный условиями кредитного соглашения срок исполнения обеспечиваемых государственной гарантией Российской Федерации обязательств, увеличенный на 90 (Девяносто) календарных дней.</w:t>
      </w:r>
    </w:p>
    <w:p w:rsidR="00E624BE" w:rsidRPr="00E624BE" w:rsidRDefault="00E624BE" w:rsidP="00E624BE">
      <w:pPr>
        <w:ind w:firstLine="567"/>
        <w:jc w:val="both"/>
        <w:outlineLvl w:val="0"/>
        <w:rPr>
          <w:i/>
          <w:szCs w:val="28"/>
          <w:u w:val="single"/>
        </w:rPr>
      </w:pPr>
      <w:r w:rsidRPr="00E624BE">
        <w:rPr>
          <w:i/>
          <w:szCs w:val="28"/>
          <w:u w:val="single"/>
        </w:rPr>
        <w:lastRenderedPageBreak/>
        <w:t>Цена Договора (предельная сумма государственной гарантии):</w:t>
      </w:r>
    </w:p>
    <w:p w:rsidR="00E624BE" w:rsidRPr="00E624BE" w:rsidRDefault="00E624BE" w:rsidP="00E624BE">
      <w:pPr>
        <w:ind w:firstLine="567"/>
        <w:jc w:val="both"/>
        <w:outlineLvl w:val="0"/>
        <w:rPr>
          <w:szCs w:val="28"/>
        </w:rPr>
      </w:pPr>
      <w:r w:rsidRPr="00E624BE">
        <w:rPr>
          <w:szCs w:val="28"/>
        </w:rPr>
        <w:t>Не более 1 400 582 750 (Один миллиард четыреста миллионов пятьсот восемьдесят две тысячи семьсот пятьдесят) рублей.</w:t>
      </w:r>
    </w:p>
    <w:p w:rsidR="00B34566" w:rsidRPr="00B34566" w:rsidRDefault="00B34566" w:rsidP="00466614">
      <w:pPr>
        <w:tabs>
          <w:tab w:val="left" w:pos="567"/>
          <w:tab w:val="left" w:pos="851"/>
        </w:tabs>
        <w:jc w:val="both"/>
        <w:rPr>
          <w:iCs/>
          <w:szCs w:val="28"/>
        </w:rPr>
      </w:pPr>
    </w:p>
    <w:p w:rsidR="00AB4921" w:rsidRPr="00B11A03" w:rsidRDefault="00AB4921" w:rsidP="00AB4921">
      <w:pPr>
        <w:ind w:firstLine="567"/>
        <w:jc w:val="both"/>
        <w:rPr>
          <w:b/>
          <w:bCs/>
          <w:i/>
          <w:szCs w:val="28"/>
        </w:rPr>
      </w:pPr>
      <w:r w:rsidRPr="00AB4921">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BF5E7C">
      <w:pPr>
        <w:ind w:firstLine="708"/>
        <w:jc w:val="both"/>
        <w:rPr>
          <w:rFonts w:eastAsia="Lucida Sans Unicode"/>
          <w:b/>
          <w:kern w:val="1"/>
          <w:szCs w:val="28"/>
          <w:lang w:eastAsia="en-US"/>
        </w:rPr>
      </w:pPr>
    </w:p>
    <w:p w:rsidR="00AB4921" w:rsidRPr="00B11A03" w:rsidRDefault="00AB4921" w:rsidP="00BF5E7C">
      <w:pPr>
        <w:ind w:firstLine="708"/>
        <w:jc w:val="both"/>
        <w:rPr>
          <w:rFonts w:eastAsia="Lucida Sans Unicode"/>
          <w:b/>
          <w:kern w:val="1"/>
          <w:szCs w:val="28"/>
          <w:lang w:eastAsia="en-US"/>
        </w:rPr>
      </w:pPr>
    </w:p>
    <w:p w:rsidR="00C2722B" w:rsidRPr="00C2722B" w:rsidRDefault="00C2722B" w:rsidP="00C2722B">
      <w:pPr>
        <w:widowControl w:val="0"/>
        <w:suppressAutoHyphens/>
        <w:ind w:firstLine="567"/>
        <w:jc w:val="both"/>
        <w:rPr>
          <w:szCs w:val="28"/>
        </w:rPr>
      </w:pPr>
      <w:r w:rsidRPr="00C2722B">
        <w:rPr>
          <w:b/>
          <w:szCs w:val="28"/>
        </w:rPr>
        <w:t>1.3.</w:t>
      </w:r>
      <w:r w:rsidRPr="00C2722B">
        <w:rPr>
          <w:szCs w:val="28"/>
        </w:rPr>
        <w:t xml:space="preserve"> </w:t>
      </w:r>
      <w:proofErr w:type="gramStart"/>
      <w:r w:rsidRPr="00C2722B">
        <w:rPr>
          <w:szCs w:val="28"/>
        </w:rPr>
        <w:t>Об одобрении договора о предоставлении государственной гарантии Российской Федерации, заключаемого между Министерством финансов Российской Федерации, Государственной корпорацией «Банк развития и внешнеэкономической деятельности (Внешэкономбанк)», Банком ВТБ (публичное акционерное общество)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соглашению, заключенному с Банком ВТБ (публичное акционерное общество) для финансирования проекта</w:t>
      </w:r>
      <w:proofErr w:type="gramEnd"/>
      <w:r w:rsidRPr="00C2722B">
        <w:rPr>
          <w:szCs w:val="28"/>
        </w:rPr>
        <w:t xml:space="preserve"> «Строительство объектов внеплощадочной инфраструктуры </w:t>
      </w:r>
      <w:proofErr w:type="gramStart"/>
      <w:r w:rsidRPr="00C2722B">
        <w:rPr>
          <w:szCs w:val="28"/>
        </w:rPr>
        <w:t>для</w:t>
      </w:r>
      <w:proofErr w:type="gramEnd"/>
      <w:r w:rsidRPr="00C2722B">
        <w:rPr>
          <w:szCs w:val="28"/>
        </w:rPr>
        <w:t xml:space="preserve"> Якутской ГРЭС-2 (1-я очередь)».</w:t>
      </w:r>
    </w:p>
    <w:p w:rsidR="00466614" w:rsidRDefault="00466614" w:rsidP="00BF5E7C">
      <w:pPr>
        <w:ind w:firstLine="567"/>
        <w:jc w:val="both"/>
        <w:rPr>
          <w:rFonts w:eastAsia="Lucida Sans Unicode"/>
          <w:b/>
          <w:kern w:val="1"/>
          <w:szCs w:val="28"/>
        </w:rPr>
      </w:pPr>
    </w:p>
    <w:p w:rsidR="00F42D91" w:rsidRDefault="00F42D91" w:rsidP="00F42D91">
      <w:pPr>
        <w:spacing w:after="120"/>
        <w:ind w:left="567"/>
        <w:jc w:val="both"/>
        <w:rPr>
          <w:b/>
          <w:spacing w:val="-2"/>
          <w:szCs w:val="28"/>
        </w:rPr>
      </w:pPr>
      <w:r w:rsidRPr="00B11A03">
        <w:rPr>
          <w:b/>
          <w:spacing w:val="-2"/>
          <w:szCs w:val="28"/>
        </w:rPr>
        <w:t>Решение:</w:t>
      </w:r>
    </w:p>
    <w:p w:rsidR="00C2722B" w:rsidRPr="00C2722B" w:rsidRDefault="00C2722B" w:rsidP="00C2722B">
      <w:pPr>
        <w:ind w:firstLine="567"/>
        <w:jc w:val="both"/>
        <w:rPr>
          <w:szCs w:val="28"/>
        </w:rPr>
      </w:pPr>
      <w:proofErr w:type="gramStart"/>
      <w:r w:rsidRPr="00C2722B">
        <w:rPr>
          <w:szCs w:val="28"/>
        </w:rPr>
        <w:t>Одобрить договор о предоставлении государственной гарантии Российской Федерации заключаемый между Министерством финансов Российской Федерации, Государственной корпорацией «Банк развития и внешнеэкономической деятельности (Внешэкономбанк)», Банком ВТБ (публичное акционерное общество) и Публичным акционерным обществом «РАО Энергетические системы Востока» в обеспечение исполнения обязательств Публичного акционерного общества «РАО Энергетические системы Востока» по кредитному соглашению, заключенному с Банком ВТБ (публичное акционерное общество) для финансирования проекта «Строительство</w:t>
      </w:r>
      <w:proofErr w:type="gramEnd"/>
      <w:r w:rsidRPr="00C2722B">
        <w:rPr>
          <w:szCs w:val="28"/>
        </w:rPr>
        <w:t xml:space="preserve"> объектов внеплощадочной инфраструктуры </w:t>
      </w:r>
      <w:proofErr w:type="gramStart"/>
      <w:r w:rsidRPr="00C2722B">
        <w:rPr>
          <w:szCs w:val="28"/>
        </w:rPr>
        <w:t>для</w:t>
      </w:r>
      <w:proofErr w:type="gramEnd"/>
      <w:r w:rsidRPr="00C2722B">
        <w:rPr>
          <w:szCs w:val="28"/>
        </w:rPr>
        <w:t xml:space="preserve"> Якутской ГРЭС-2 (1-я очередь)» (далее – Договор), на следующих существенных  условиях:</w:t>
      </w:r>
    </w:p>
    <w:p w:rsidR="00C2722B" w:rsidRPr="00C2722B" w:rsidRDefault="00C2722B" w:rsidP="00C2722B">
      <w:pPr>
        <w:ind w:firstLine="567"/>
        <w:jc w:val="both"/>
        <w:outlineLvl w:val="0"/>
        <w:rPr>
          <w:i/>
          <w:szCs w:val="28"/>
          <w:u w:val="single"/>
        </w:rPr>
      </w:pPr>
      <w:r w:rsidRPr="00C2722B">
        <w:rPr>
          <w:i/>
          <w:szCs w:val="28"/>
          <w:u w:val="single"/>
        </w:rPr>
        <w:t>Стороны Договора:</w:t>
      </w:r>
    </w:p>
    <w:p w:rsidR="00C2722B" w:rsidRPr="00C2722B" w:rsidRDefault="00C2722B" w:rsidP="00C2722B">
      <w:pPr>
        <w:ind w:firstLine="567"/>
        <w:jc w:val="both"/>
        <w:outlineLvl w:val="0"/>
        <w:rPr>
          <w:szCs w:val="28"/>
        </w:rPr>
      </w:pPr>
      <w:r w:rsidRPr="00C2722B">
        <w:rPr>
          <w:szCs w:val="28"/>
        </w:rPr>
        <w:t xml:space="preserve">Гарант – Российская Федерация в лице Министерства финансов российской Федерации; </w:t>
      </w:r>
    </w:p>
    <w:p w:rsidR="00C2722B" w:rsidRPr="00C2722B" w:rsidRDefault="00C2722B" w:rsidP="00C2722B">
      <w:pPr>
        <w:ind w:firstLine="567"/>
        <w:jc w:val="both"/>
        <w:outlineLvl w:val="0"/>
        <w:rPr>
          <w:szCs w:val="28"/>
        </w:rPr>
      </w:pPr>
      <w:r w:rsidRPr="00C2722B">
        <w:rPr>
          <w:szCs w:val="28"/>
        </w:rPr>
        <w:t>Принципал - Публичное акционерное общество «РАО Энергетические системы Востока»;</w:t>
      </w:r>
    </w:p>
    <w:p w:rsidR="00C2722B" w:rsidRPr="00C2722B" w:rsidRDefault="00C2722B" w:rsidP="00C2722B">
      <w:pPr>
        <w:ind w:firstLine="567"/>
        <w:jc w:val="both"/>
        <w:outlineLvl w:val="0"/>
        <w:rPr>
          <w:szCs w:val="28"/>
        </w:rPr>
      </w:pPr>
      <w:r w:rsidRPr="00C2722B">
        <w:rPr>
          <w:szCs w:val="28"/>
        </w:rPr>
        <w:t>Бенефициар – Банк ВТБ (публичное акционерное общество);</w:t>
      </w:r>
    </w:p>
    <w:p w:rsidR="00C2722B" w:rsidRPr="00C2722B" w:rsidRDefault="00C2722B" w:rsidP="00C2722B">
      <w:pPr>
        <w:ind w:firstLine="567"/>
        <w:jc w:val="both"/>
        <w:outlineLvl w:val="0"/>
        <w:rPr>
          <w:szCs w:val="28"/>
        </w:rPr>
      </w:pPr>
      <w:r w:rsidRPr="00C2722B">
        <w:rPr>
          <w:szCs w:val="28"/>
        </w:rPr>
        <w:t>Агент Правительства Российской Федерации – Государственная корпорация «Банк развития и внешнеэкономической деятельности (Внешэкономбанк)».</w:t>
      </w:r>
    </w:p>
    <w:p w:rsidR="00C2722B" w:rsidRPr="00C2722B" w:rsidRDefault="00C2722B" w:rsidP="00C2722B">
      <w:pPr>
        <w:ind w:firstLine="567"/>
        <w:jc w:val="both"/>
        <w:outlineLvl w:val="0"/>
        <w:rPr>
          <w:i/>
          <w:szCs w:val="28"/>
          <w:u w:val="single"/>
        </w:rPr>
      </w:pPr>
      <w:r w:rsidRPr="00C2722B">
        <w:rPr>
          <w:i/>
          <w:szCs w:val="28"/>
          <w:u w:val="single"/>
        </w:rPr>
        <w:t>Предмет Договора:</w:t>
      </w:r>
    </w:p>
    <w:p w:rsidR="00C2722B" w:rsidRPr="00C2722B" w:rsidRDefault="00C2722B" w:rsidP="00C2722B">
      <w:pPr>
        <w:ind w:firstLine="567"/>
        <w:jc w:val="both"/>
        <w:outlineLvl w:val="0"/>
        <w:rPr>
          <w:szCs w:val="28"/>
        </w:rPr>
      </w:pPr>
      <w:proofErr w:type="gramStart"/>
      <w:r w:rsidRPr="00C2722B">
        <w:rPr>
          <w:szCs w:val="28"/>
        </w:rPr>
        <w:t xml:space="preserve">Предоставление Российской Федерацией в лице Министерства финансов Российской Федерации государственной гарантии Российской Федерации в обеспечение исполнения обязательств Принципала перед Бенефициаром по кредитному соглашению о предоставлении кредитной линии на сумму не более 6 612 880 000 (Шести миллиардов шестисот двенадцати миллионов восьмисот восьмидесяти тысяч) рублей со сроком окончательного погашения задолженности не позднее 12 (Двенадцати) лет с даты подписания кредитного соглашения, </w:t>
      </w:r>
      <w:r w:rsidRPr="00C2722B">
        <w:rPr>
          <w:szCs w:val="28"/>
        </w:rPr>
        <w:lastRenderedPageBreak/>
        <w:t>заключенного</w:t>
      </w:r>
      <w:proofErr w:type="gramEnd"/>
      <w:r w:rsidRPr="00C2722B">
        <w:rPr>
          <w:szCs w:val="28"/>
        </w:rPr>
        <w:t xml:space="preserve"> с Бенефициаром для финансирования проекта «Строительство объектов внеплощадочной инфраструктуры </w:t>
      </w:r>
      <w:proofErr w:type="gramStart"/>
      <w:r w:rsidRPr="00C2722B">
        <w:rPr>
          <w:szCs w:val="28"/>
        </w:rPr>
        <w:t>для</w:t>
      </w:r>
      <w:proofErr w:type="gramEnd"/>
      <w:r w:rsidRPr="00C2722B">
        <w:rPr>
          <w:szCs w:val="28"/>
        </w:rPr>
        <w:t xml:space="preserve"> Якутской ГРЭС-2 (1-я очередь).</w:t>
      </w:r>
    </w:p>
    <w:p w:rsidR="00C2722B" w:rsidRPr="00C2722B" w:rsidRDefault="00C2722B" w:rsidP="00C2722B">
      <w:pPr>
        <w:ind w:firstLine="567"/>
        <w:jc w:val="both"/>
        <w:outlineLvl w:val="0"/>
        <w:rPr>
          <w:i/>
          <w:szCs w:val="28"/>
          <w:u w:val="single"/>
        </w:rPr>
      </w:pPr>
      <w:r w:rsidRPr="00C2722B">
        <w:rPr>
          <w:i/>
          <w:szCs w:val="28"/>
          <w:u w:val="single"/>
        </w:rPr>
        <w:t>Срок действия государственной гарантии:</w:t>
      </w:r>
    </w:p>
    <w:p w:rsidR="00C2722B" w:rsidRPr="00C2722B" w:rsidRDefault="00C2722B" w:rsidP="00C2722B">
      <w:pPr>
        <w:ind w:firstLine="567"/>
        <w:jc w:val="both"/>
        <w:outlineLvl w:val="0"/>
        <w:rPr>
          <w:szCs w:val="28"/>
        </w:rPr>
      </w:pPr>
      <w:r w:rsidRPr="00C2722B">
        <w:rPr>
          <w:szCs w:val="28"/>
        </w:rPr>
        <w:t>Установленный условиями кредитного соглашения срок исполнения обеспечиваемых государственной гарантией Российской Федерации обязательств, увеличенный на 90 (Девяносто) календарных дней.</w:t>
      </w:r>
    </w:p>
    <w:p w:rsidR="00C2722B" w:rsidRPr="00C2722B" w:rsidRDefault="00C2722B" w:rsidP="00C2722B">
      <w:pPr>
        <w:ind w:firstLine="567"/>
        <w:jc w:val="both"/>
        <w:outlineLvl w:val="0"/>
        <w:rPr>
          <w:i/>
          <w:szCs w:val="28"/>
          <w:u w:val="single"/>
        </w:rPr>
      </w:pPr>
      <w:r w:rsidRPr="00C2722B">
        <w:rPr>
          <w:i/>
          <w:szCs w:val="28"/>
          <w:u w:val="single"/>
        </w:rPr>
        <w:t>Цена Договора (предельная сумма государственной гарантии):</w:t>
      </w:r>
    </w:p>
    <w:p w:rsidR="00C2722B" w:rsidRPr="00C2722B" w:rsidRDefault="00C2722B" w:rsidP="00C2722B">
      <w:pPr>
        <w:ind w:firstLine="567"/>
        <w:jc w:val="both"/>
        <w:outlineLvl w:val="0"/>
        <w:rPr>
          <w:szCs w:val="28"/>
        </w:rPr>
      </w:pPr>
      <w:r w:rsidRPr="00C2722B">
        <w:rPr>
          <w:szCs w:val="28"/>
        </w:rPr>
        <w:t>Не более 1 653 220 000 (Одного миллиарда шестисот пятидесяти трех миллионов двухсот двадцати тысяч) рублей.</w:t>
      </w:r>
    </w:p>
    <w:p w:rsidR="00C2722B" w:rsidRDefault="00C2722B" w:rsidP="00BF5E7C">
      <w:pPr>
        <w:ind w:firstLine="567"/>
        <w:jc w:val="both"/>
        <w:rPr>
          <w:rFonts w:eastAsia="Lucida Sans Unicode"/>
          <w:b/>
          <w:kern w:val="1"/>
          <w:szCs w:val="28"/>
        </w:rPr>
      </w:pPr>
    </w:p>
    <w:p w:rsidR="00AB4921" w:rsidRPr="00B11A03" w:rsidRDefault="00AB4921" w:rsidP="00AB4921">
      <w:pPr>
        <w:ind w:firstLine="567"/>
        <w:jc w:val="both"/>
        <w:rPr>
          <w:b/>
          <w:bCs/>
          <w:i/>
          <w:szCs w:val="28"/>
        </w:rPr>
      </w:pPr>
      <w:r w:rsidRPr="00AB4921">
        <w:rPr>
          <w:bCs/>
          <w:szCs w:val="28"/>
        </w:rPr>
        <w:t>По итогам голосования</w:t>
      </w:r>
      <w:r>
        <w:rPr>
          <w:b/>
          <w:bCs/>
          <w:i/>
          <w:szCs w:val="28"/>
        </w:rPr>
        <w:t xml:space="preserve"> р</w:t>
      </w:r>
      <w:r w:rsidRPr="00B11A03">
        <w:rPr>
          <w:b/>
          <w:bCs/>
          <w:i/>
          <w:szCs w:val="28"/>
        </w:rPr>
        <w:t>ешение принято.</w:t>
      </w:r>
    </w:p>
    <w:p w:rsidR="00312CB5" w:rsidRDefault="00312CB5" w:rsidP="00461FB2">
      <w:pPr>
        <w:pStyle w:val="a9"/>
        <w:tabs>
          <w:tab w:val="clear" w:pos="4153"/>
          <w:tab w:val="clear" w:pos="8306"/>
        </w:tabs>
        <w:spacing w:line="360" w:lineRule="atLeast"/>
        <w:rPr>
          <w:b/>
        </w:rPr>
      </w:pPr>
    </w:p>
    <w:p w:rsidR="00C2722B" w:rsidRDefault="00C2722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headerReference w:type="default" r:id="rId10"/>
      <w:footerReference w:type="even" r:id="rId11"/>
      <w:footerReference w:type="default" r:id="rId12"/>
      <w:headerReference w:type="firs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B9" w:rsidRDefault="000475B9">
      <w:r>
        <w:separator/>
      </w:r>
    </w:p>
  </w:endnote>
  <w:endnote w:type="continuationSeparator" w:id="0">
    <w:p w:rsidR="000475B9" w:rsidRDefault="000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42612">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42612">
      <w:rPr>
        <w:b/>
        <w:noProof/>
        <w:sz w:val="22"/>
        <w:szCs w:val="22"/>
      </w:rPr>
      <w:t>5</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B9" w:rsidRDefault="000475B9">
      <w:r>
        <w:separator/>
      </w:r>
    </w:p>
  </w:footnote>
  <w:footnote w:type="continuationSeparator" w:id="0">
    <w:p w:rsidR="000475B9" w:rsidRDefault="0004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0F" w:rsidRDefault="0065080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0F" w:rsidRDefault="006508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F002FD0"/>
    <w:multiLevelType w:val="hybridMultilevel"/>
    <w:tmpl w:val="9A9E1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35ABA"/>
    <w:multiLevelType w:val="hybridMultilevel"/>
    <w:tmpl w:val="D77C4832"/>
    <w:lvl w:ilvl="0" w:tplc="5F0E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E450F"/>
    <w:multiLevelType w:val="hybridMultilevel"/>
    <w:tmpl w:val="A8B6C406"/>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E13F34"/>
    <w:multiLevelType w:val="hybridMultilevel"/>
    <w:tmpl w:val="92D6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21DD4"/>
    <w:multiLevelType w:val="hybridMultilevel"/>
    <w:tmpl w:val="421CA818"/>
    <w:lvl w:ilvl="0" w:tplc="38E4DA1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29932872"/>
    <w:multiLevelType w:val="hybridMultilevel"/>
    <w:tmpl w:val="543CE0F2"/>
    <w:lvl w:ilvl="0" w:tplc="28907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73FAE"/>
    <w:multiLevelType w:val="multilevel"/>
    <w:tmpl w:val="C6A8D4F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30" w:hanging="720"/>
      </w:pPr>
      <w:rPr>
        <w:rFonts w:eastAsia="Times New Roman" w:hint="default"/>
        <w:b/>
        <w:sz w:val="28"/>
      </w:rPr>
    </w:lvl>
    <w:lvl w:ilvl="2">
      <w:start w:val="1"/>
      <w:numFmt w:val="decimal"/>
      <w:lvlText w:val="%1.%2.%3."/>
      <w:lvlJc w:val="left"/>
      <w:pPr>
        <w:ind w:left="1854" w:hanging="72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336" w:hanging="1800"/>
      </w:pPr>
      <w:rPr>
        <w:rFonts w:eastAsia="Times New Roman" w:hint="default"/>
        <w:sz w:val="28"/>
      </w:rPr>
    </w:lvl>
  </w:abstractNum>
  <w:abstractNum w:abstractNumId="1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22">
    <w:nsid w:val="425A3C49"/>
    <w:multiLevelType w:val="hybridMultilevel"/>
    <w:tmpl w:val="7D3A77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4">
    <w:nsid w:val="490D2EDC"/>
    <w:multiLevelType w:val="hybridMultilevel"/>
    <w:tmpl w:val="4E2AFC46"/>
    <w:lvl w:ilvl="0" w:tplc="962A5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185CD3"/>
    <w:multiLevelType w:val="hybridMultilevel"/>
    <w:tmpl w:val="BC161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31">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8A5DC9"/>
    <w:multiLevelType w:val="hybridMultilevel"/>
    <w:tmpl w:val="7CD0D53C"/>
    <w:lvl w:ilvl="0" w:tplc="6E8EB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E830610"/>
    <w:multiLevelType w:val="hybridMultilevel"/>
    <w:tmpl w:val="A7D66B54"/>
    <w:lvl w:ilvl="0" w:tplc="FF983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F217DE"/>
    <w:multiLevelType w:val="hybridMultilevel"/>
    <w:tmpl w:val="65A4B16A"/>
    <w:lvl w:ilvl="0" w:tplc="18EA32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2261C4F"/>
    <w:multiLevelType w:val="hybridMultilevel"/>
    <w:tmpl w:val="38C43DAE"/>
    <w:lvl w:ilvl="0" w:tplc="8006C6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642219"/>
    <w:multiLevelType w:val="hybridMultilevel"/>
    <w:tmpl w:val="FA624C5E"/>
    <w:lvl w:ilvl="0" w:tplc="0B5AEB7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B8943E2"/>
    <w:multiLevelType w:val="hybridMultilevel"/>
    <w:tmpl w:val="BFC6AC46"/>
    <w:lvl w:ilvl="0" w:tplc="F82E81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762E14E9"/>
    <w:multiLevelType w:val="hybridMultilevel"/>
    <w:tmpl w:val="7C089CBA"/>
    <w:lvl w:ilvl="0" w:tplc="987AF2A0">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8">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9"/>
  </w:num>
  <w:num w:numId="5">
    <w:abstractNumId w:val="20"/>
  </w:num>
  <w:num w:numId="6">
    <w:abstractNumId w:val="12"/>
  </w:num>
  <w:num w:numId="7">
    <w:abstractNumId w:val="17"/>
  </w:num>
  <w:num w:numId="8">
    <w:abstractNumId w:val="26"/>
  </w:num>
  <w:num w:numId="9">
    <w:abstractNumId w:val="15"/>
  </w:num>
  <w:num w:numId="10">
    <w:abstractNumId w:val="47"/>
  </w:num>
  <w:num w:numId="11">
    <w:abstractNumId w:val="9"/>
  </w:num>
  <w:num w:numId="12">
    <w:abstractNumId w:val="25"/>
  </w:num>
  <w:num w:numId="13">
    <w:abstractNumId w:val="39"/>
  </w:num>
  <w:num w:numId="14">
    <w:abstractNumId w:val="44"/>
  </w:num>
  <w:num w:numId="15">
    <w:abstractNumId w:val="36"/>
  </w:num>
  <w:num w:numId="16">
    <w:abstractNumId w:val="29"/>
  </w:num>
  <w:num w:numId="17">
    <w:abstractNumId w:val="3"/>
  </w:num>
  <w:num w:numId="18">
    <w:abstractNumId w:val="43"/>
  </w:num>
  <w:num w:numId="19">
    <w:abstractNumId w:val="33"/>
  </w:num>
  <w:num w:numId="20">
    <w:abstractNumId w:val="8"/>
  </w:num>
  <w:num w:numId="21">
    <w:abstractNumId w:val="23"/>
  </w:num>
  <w:num w:numId="22">
    <w:abstractNumId w:val="28"/>
  </w:num>
  <w:num w:numId="23">
    <w:abstractNumId w:val="31"/>
  </w:num>
  <w:num w:numId="24">
    <w:abstractNumId w:val="45"/>
  </w:num>
  <w:num w:numId="25">
    <w:abstractNumId w:val="5"/>
  </w:num>
  <w:num w:numId="26">
    <w:abstractNumId w:val="32"/>
  </w:num>
  <w:num w:numId="27">
    <w:abstractNumId w:val="48"/>
  </w:num>
  <w:num w:numId="28">
    <w:abstractNumId w:val="30"/>
  </w:num>
  <w:num w:numId="29">
    <w:abstractNumId w:val="2"/>
  </w:num>
  <w:num w:numId="30">
    <w:abstractNumId w:val="7"/>
  </w:num>
  <w:num w:numId="31">
    <w:abstractNumId w:val="21"/>
  </w:num>
  <w:num w:numId="32">
    <w:abstractNumId w:val="49"/>
  </w:num>
  <w:num w:numId="33">
    <w:abstractNumId w:val="40"/>
  </w:num>
  <w:num w:numId="34">
    <w:abstractNumId w:val="24"/>
  </w:num>
  <w:num w:numId="35">
    <w:abstractNumId w:val="13"/>
  </w:num>
  <w:num w:numId="36">
    <w:abstractNumId w:val="6"/>
  </w:num>
  <w:num w:numId="37">
    <w:abstractNumId w:val="11"/>
  </w:num>
  <w:num w:numId="38">
    <w:abstractNumId w:val="22"/>
  </w:num>
  <w:num w:numId="39">
    <w:abstractNumId w:val="37"/>
  </w:num>
  <w:num w:numId="40">
    <w:abstractNumId w:val="46"/>
  </w:num>
  <w:num w:numId="41">
    <w:abstractNumId w:val="38"/>
  </w:num>
  <w:num w:numId="42">
    <w:abstractNumId w:val="14"/>
  </w:num>
  <w:num w:numId="43">
    <w:abstractNumId w:val="42"/>
  </w:num>
  <w:num w:numId="44">
    <w:abstractNumId w:val="41"/>
  </w:num>
  <w:num w:numId="45">
    <w:abstractNumId w:val="27"/>
  </w:num>
  <w:num w:numId="46">
    <w:abstractNumId w:val="35"/>
  </w:num>
  <w:num w:numId="47">
    <w:abstractNumId w:val="34"/>
  </w:num>
  <w:num w:numId="48">
    <w:abstractNumId w:val="16"/>
  </w:num>
  <w:num w:numId="49">
    <w:abstractNumId w:val="18"/>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5B9"/>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683"/>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760"/>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0022"/>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1E12"/>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80F"/>
    <w:rsid w:val="00650C66"/>
    <w:rsid w:val="006520EF"/>
    <w:rsid w:val="00652443"/>
    <w:rsid w:val="00653434"/>
    <w:rsid w:val="0065349E"/>
    <w:rsid w:val="00653C80"/>
    <w:rsid w:val="00653EC8"/>
    <w:rsid w:val="0065452A"/>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2612"/>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BEB"/>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6D0"/>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5A29"/>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921"/>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D8"/>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50E3"/>
    <w:rsid w:val="00ED5143"/>
    <w:rsid w:val="00ED5E17"/>
    <w:rsid w:val="00ED5FFA"/>
    <w:rsid w:val="00ED6758"/>
    <w:rsid w:val="00ED6975"/>
    <w:rsid w:val="00ED6C3E"/>
    <w:rsid w:val="00ED6D5F"/>
    <w:rsid w:val="00ED787E"/>
    <w:rsid w:val="00ED7C4B"/>
    <w:rsid w:val="00EE0A57"/>
    <w:rsid w:val="00EE0C0D"/>
    <w:rsid w:val="00EE0FF1"/>
    <w:rsid w:val="00EE132B"/>
    <w:rsid w:val="00EE18D4"/>
    <w:rsid w:val="00EE1F9A"/>
    <w:rsid w:val="00EE246A"/>
    <w:rsid w:val="00EE2749"/>
    <w:rsid w:val="00EE2D7E"/>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6DE3-7618-4F66-9D33-0F24DECB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8</cp:revision>
  <cp:lastPrinted>2015-12-22T06:14:00Z</cp:lastPrinted>
  <dcterms:created xsi:type="dcterms:W3CDTF">2015-12-22T12:26:00Z</dcterms:created>
  <dcterms:modified xsi:type="dcterms:W3CDTF">2015-12-22T12:32:00Z</dcterms:modified>
</cp:coreProperties>
</file>