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DB" w:rsidRPr="00867DDB" w:rsidRDefault="00867DDB" w:rsidP="00867DDB">
      <w:pPr>
        <w:keepNext/>
        <w:spacing w:after="0" w:line="240" w:lineRule="auto"/>
        <w:ind w:left="2124"/>
        <w:outlineLvl w:val="1"/>
        <w:rPr>
          <w:rFonts w:ascii="Times New Roman" w:eastAsia="Arial Unicode MS" w:hAnsi="Times New Roman" w:cs="Times New Roman"/>
          <w:b/>
          <w:sz w:val="24"/>
          <w:szCs w:val="24"/>
          <w:lang w:val="en-US" w:eastAsia="ru-RU"/>
        </w:rPr>
      </w:pPr>
      <w:r>
        <w:rPr>
          <w:rFonts w:ascii="Times New Roman" w:eastAsia="Times New Roman" w:hAnsi="Times New Roman" w:cs="Times New Roman"/>
          <w:b/>
          <w:noProof/>
          <w:szCs w:val="24"/>
          <w:lang w:eastAsia="ru-RU"/>
        </w:rPr>
        <w:drawing>
          <wp:anchor distT="0" distB="0" distL="114300" distR="114300" simplePos="0" relativeHeight="251659264" behindDoc="0" locked="0" layoutInCell="1" allowOverlap="1" wp14:anchorId="2BA205D2" wp14:editId="01C61BCA">
            <wp:simplePos x="0" y="0"/>
            <wp:positionH relativeFrom="column">
              <wp:posOffset>0</wp:posOffset>
            </wp:positionH>
            <wp:positionV relativeFrom="paragraph">
              <wp:posOffset>41910</wp:posOffset>
            </wp:positionV>
            <wp:extent cx="1143000" cy="1012825"/>
            <wp:effectExtent l="0" t="0" r="0" b="0"/>
            <wp:wrapSquare wrapText="bothSides"/>
            <wp:docPr id="2" name="Рисунок 2" descr="логотип_РАО_ЭС_Востока_в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_РАО_ЭС_Востока_ве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val="en-US" w:eastAsia="ru-RU"/>
        </w:rPr>
        <w:t>JSC “RAO Energy System of East”</w:t>
      </w:r>
    </w:p>
    <w:p w:rsidR="00867DDB" w:rsidRPr="00D01EBC" w:rsidRDefault="00867DDB" w:rsidP="00867DDB">
      <w:pPr>
        <w:tabs>
          <w:tab w:val="right" w:pos="1980"/>
          <w:tab w:val="center" w:pos="4677"/>
          <w:tab w:val="right" w:pos="9355"/>
        </w:tabs>
        <w:spacing w:after="0" w:line="240" w:lineRule="auto"/>
        <w:ind w:left="2124"/>
        <w:rPr>
          <w:rFonts w:ascii="Times New Roman" w:eastAsia="Times New Roman" w:hAnsi="Times New Roman" w:cs="Times New Roman"/>
          <w:sz w:val="16"/>
          <w:szCs w:val="24"/>
          <w:lang w:val="en-US" w:eastAsia="ru-RU"/>
        </w:rPr>
      </w:pPr>
      <w:r>
        <w:rPr>
          <w:rFonts w:ascii="Times New Roman" w:eastAsia="Times New Roman" w:hAnsi="Times New Roman" w:cs="Times New Roman"/>
          <w:sz w:val="16"/>
          <w:szCs w:val="24"/>
          <w:lang w:val="en-US" w:eastAsia="ru-RU"/>
        </w:rPr>
        <w:t>Legal address</w:t>
      </w:r>
      <w:r w:rsidRPr="00D01EBC">
        <w:rPr>
          <w:rFonts w:ascii="Times New Roman" w:eastAsia="Times New Roman" w:hAnsi="Times New Roman" w:cs="Times New Roman"/>
          <w:sz w:val="16"/>
          <w:szCs w:val="24"/>
          <w:lang w:val="en-US" w:eastAsia="ru-RU"/>
        </w:rPr>
        <w:t>:</w:t>
      </w:r>
    </w:p>
    <w:p w:rsidR="00E3720D" w:rsidRDefault="00E3720D" w:rsidP="00867DDB">
      <w:pPr>
        <w:tabs>
          <w:tab w:val="center" w:pos="1980"/>
          <w:tab w:val="center" w:pos="4677"/>
          <w:tab w:val="right" w:pos="9355"/>
        </w:tabs>
        <w:spacing w:after="0" w:line="240" w:lineRule="auto"/>
        <w:ind w:left="1980"/>
        <w:rPr>
          <w:rFonts w:ascii="Times New Roman" w:eastAsia="Times New Roman" w:hAnsi="Times New Roman" w:cs="Times New Roman"/>
          <w:sz w:val="16"/>
          <w:szCs w:val="24"/>
          <w:lang w:val="en-US" w:eastAsia="ru-RU"/>
        </w:rPr>
      </w:pPr>
    </w:p>
    <w:p w:rsidR="00867DDB" w:rsidRPr="00E3720D" w:rsidRDefault="00E3720D" w:rsidP="00E3720D">
      <w:pPr>
        <w:tabs>
          <w:tab w:val="center" w:pos="2127"/>
          <w:tab w:val="center" w:pos="4677"/>
          <w:tab w:val="right" w:pos="9355"/>
        </w:tabs>
        <w:spacing w:after="0" w:line="240" w:lineRule="auto"/>
        <w:ind w:left="1980"/>
        <w:rPr>
          <w:rFonts w:ascii="Times New Roman" w:eastAsia="Times New Roman" w:hAnsi="Times New Roman" w:cs="Times New Roman"/>
          <w:sz w:val="16"/>
          <w:szCs w:val="24"/>
          <w:lang w:val="en-US" w:eastAsia="ru-RU"/>
        </w:rPr>
      </w:pPr>
      <w:proofErr w:type="spellStart"/>
      <w:r>
        <w:rPr>
          <w:rFonts w:ascii="Times New Roman" w:eastAsia="Times New Roman" w:hAnsi="Times New Roman" w:cs="Times New Roman"/>
          <w:sz w:val="16"/>
          <w:szCs w:val="24"/>
          <w:lang w:val="en-US" w:eastAsia="ru-RU"/>
        </w:rPr>
        <w:t>Ul</w:t>
      </w:r>
      <w:proofErr w:type="spellEnd"/>
      <w:r w:rsidR="00867DDB" w:rsidRPr="00E3720D">
        <w:rPr>
          <w:rFonts w:ascii="Times New Roman" w:eastAsia="Times New Roman" w:hAnsi="Times New Roman" w:cs="Times New Roman"/>
          <w:sz w:val="16"/>
          <w:szCs w:val="24"/>
          <w:lang w:val="en-US" w:eastAsia="ru-RU"/>
        </w:rPr>
        <w:t xml:space="preserve"> </w:t>
      </w:r>
      <w:r>
        <w:rPr>
          <w:rFonts w:ascii="Times New Roman" w:eastAsia="Times New Roman" w:hAnsi="Times New Roman" w:cs="Times New Roman"/>
          <w:sz w:val="16"/>
          <w:szCs w:val="24"/>
          <w:lang w:val="en-US" w:eastAsia="ru-RU"/>
        </w:rPr>
        <w:t>Leningradskaya</w:t>
      </w:r>
      <w:proofErr w:type="gramStart"/>
      <w:r w:rsidR="00867DDB" w:rsidRPr="00E3720D">
        <w:rPr>
          <w:rFonts w:ascii="Times New Roman" w:eastAsia="Times New Roman" w:hAnsi="Times New Roman" w:cs="Times New Roman"/>
          <w:sz w:val="16"/>
          <w:szCs w:val="24"/>
          <w:lang w:val="en-US" w:eastAsia="ru-RU"/>
        </w:rPr>
        <w:t>,.</w:t>
      </w:r>
      <w:proofErr w:type="gramEnd"/>
      <w:r w:rsidR="00867DDB" w:rsidRPr="00E3720D">
        <w:rPr>
          <w:rFonts w:ascii="Times New Roman" w:eastAsia="Times New Roman" w:hAnsi="Times New Roman" w:cs="Times New Roman"/>
          <w:sz w:val="16"/>
          <w:szCs w:val="24"/>
          <w:lang w:val="en-US" w:eastAsia="ru-RU"/>
        </w:rPr>
        <w:t xml:space="preserve">46, </w:t>
      </w:r>
      <w:r>
        <w:rPr>
          <w:rFonts w:ascii="Times New Roman" w:eastAsia="Times New Roman" w:hAnsi="Times New Roman" w:cs="Times New Roman"/>
          <w:sz w:val="16"/>
          <w:szCs w:val="24"/>
          <w:lang w:val="en-US" w:eastAsia="ru-RU"/>
        </w:rPr>
        <w:t>Khabarovsk</w:t>
      </w:r>
      <w:r w:rsidR="00867DDB" w:rsidRPr="00E3720D">
        <w:rPr>
          <w:rFonts w:ascii="Times New Roman" w:eastAsia="Times New Roman" w:hAnsi="Times New Roman" w:cs="Times New Roman"/>
          <w:sz w:val="16"/>
          <w:szCs w:val="24"/>
          <w:lang w:val="en-US" w:eastAsia="ru-RU"/>
        </w:rPr>
        <w:t>,</w:t>
      </w:r>
      <w:r>
        <w:rPr>
          <w:rFonts w:ascii="Times New Roman" w:eastAsia="Times New Roman" w:hAnsi="Times New Roman" w:cs="Times New Roman"/>
          <w:sz w:val="16"/>
          <w:szCs w:val="24"/>
          <w:lang w:val="en-US" w:eastAsia="ru-RU"/>
        </w:rPr>
        <w:t xml:space="preserve"> Russia </w:t>
      </w:r>
      <w:r w:rsidR="00867DDB" w:rsidRPr="00E3720D">
        <w:rPr>
          <w:rFonts w:ascii="Times New Roman" w:eastAsia="Times New Roman" w:hAnsi="Times New Roman" w:cs="Times New Roman"/>
          <w:sz w:val="16"/>
          <w:szCs w:val="24"/>
          <w:lang w:val="en-US" w:eastAsia="ru-RU"/>
        </w:rPr>
        <w:t xml:space="preserve">, 680021   </w:t>
      </w:r>
    </w:p>
    <w:p w:rsidR="00867DDB" w:rsidRPr="00E3720D" w:rsidRDefault="00E3720D" w:rsidP="00867DDB">
      <w:pPr>
        <w:tabs>
          <w:tab w:val="left" w:pos="2160"/>
        </w:tabs>
        <w:spacing w:after="0" w:line="240" w:lineRule="auto"/>
        <w:ind w:left="2124"/>
        <w:rPr>
          <w:rFonts w:ascii="Times New Roman" w:eastAsia="Times New Roman" w:hAnsi="Times New Roman" w:cs="Times New Roman"/>
          <w:sz w:val="16"/>
          <w:szCs w:val="24"/>
          <w:lang w:val="en-US" w:eastAsia="ru-RU"/>
        </w:rPr>
      </w:pPr>
      <w:r>
        <w:rPr>
          <w:rFonts w:ascii="Times New Roman" w:eastAsia="Times New Roman" w:hAnsi="Times New Roman" w:cs="Times New Roman"/>
          <w:sz w:val="16"/>
          <w:szCs w:val="24"/>
          <w:lang w:val="en-US" w:eastAsia="ru-RU"/>
        </w:rPr>
        <w:t>Postal address</w:t>
      </w:r>
      <w:r w:rsidR="00867DDB" w:rsidRPr="00E3720D">
        <w:rPr>
          <w:rFonts w:ascii="Times New Roman" w:eastAsia="Times New Roman" w:hAnsi="Times New Roman" w:cs="Times New Roman"/>
          <w:sz w:val="16"/>
          <w:szCs w:val="24"/>
          <w:lang w:val="en-US" w:eastAsia="ru-RU"/>
        </w:rPr>
        <w:t>:</w:t>
      </w:r>
    </w:p>
    <w:p w:rsidR="00867DDB" w:rsidRPr="00E3720D" w:rsidRDefault="00E3720D" w:rsidP="00867DDB">
      <w:pPr>
        <w:tabs>
          <w:tab w:val="center" w:pos="1980"/>
          <w:tab w:val="center" w:pos="4677"/>
          <w:tab w:val="right" w:pos="9355"/>
        </w:tabs>
        <w:spacing w:after="0" w:line="240" w:lineRule="auto"/>
        <w:ind w:left="1980"/>
        <w:rPr>
          <w:rFonts w:ascii="Times New Roman" w:eastAsia="Times New Roman" w:hAnsi="Times New Roman" w:cs="Times New Roman"/>
          <w:sz w:val="16"/>
          <w:szCs w:val="24"/>
          <w:lang w:val="en-US" w:eastAsia="ru-RU"/>
        </w:rPr>
      </w:pPr>
      <w:proofErr w:type="spellStart"/>
      <w:proofErr w:type="gramStart"/>
      <w:r>
        <w:rPr>
          <w:rFonts w:ascii="Times New Roman" w:eastAsia="Times New Roman" w:hAnsi="Times New Roman" w:cs="Times New Roman"/>
          <w:sz w:val="16"/>
          <w:szCs w:val="24"/>
          <w:lang w:val="en-US" w:eastAsia="ru-RU"/>
        </w:rPr>
        <w:t>Ul</w:t>
      </w:r>
      <w:proofErr w:type="spellEnd"/>
      <w:r>
        <w:rPr>
          <w:rFonts w:ascii="Times New Roman" w:eastAsia="Times New Roman" w:hAnsi="Times New Roman" w:cs="Times New Roman"/>
          <w:sz w:val="16"/>
          <w:szCs w:val="24"/>
          <w:lang w:val="en-US" w:eastAsia="ru-RU"/>
        </w:rPr>
        <w:t xml:space="preserve"> </w:t>
      </w:r>
      <w:r w:rsidR="00867DDB" w:rsidRPr="00E3720D">
        <w:rPr>
          <w:rFonts w:ascii="Times New Roman" w:eastAsia="Times New Roman" w:hAnsi="Times New Roman" w:cs="Times New Roman"/>
          <w:sz w:val="16"/>
          <w:szCs w:val="24"/>
          <w:lang w:val="en-US" w:eastAsia="ru-RU"/>
        </w:rPr>
        <w:t>.</w:t>
      </w:r>
      <w:proofErr w:type="gramEnd"/>
      <w:r w:rsidR="00867DDB" w:rsidRPr="00E3720D">
        <w:rPr>
          <w:rFonts w:ascii="Times New Roman" w:eastAsia="Times New Roman" w:hAnsi="Times New Roman" w:cs="Times New Roman"/>
          <w:sz w:val="16"/>
          <w:szCs w:val="24"/>
          <w:lang w:val="en-US" w:eastAsia="ru-RU"/>
        </w:rPr>
        <w:t xml:space="preserve"> </w:t>
      </w:r>
      <w:proofErr w:type="spellStart"/>
      <w:r>
        <w:rPr>
          <w:rFonts w:ascii="Times New Roman" w:eastAsia="Times New Roman" w:hAnsi="Times New Roman" w:cs="Times New Roman"/>
          <w:sz w:val="16"/>
          <w:szCs w:val="24"/>
          <w:lang w:val="en-US" w:eastAsia="ru-RU"/>
        </w:rPr>
        <w:t>Obraztsova</w:t>
      </w:r>
      <w:proofErr w:type="spellEnd"/>
      <w:r w:rsidR="00867DDB" w:rsidRPr="00E3720D">
        <w:rPr>
          <w:rFonts w:ascii="Times New Roman" w:eastAsia="Times New Roman" w:hAnsi="Times New Roman" w:cs="Times New Roman"/>
          <w:sz w:val="16"/>
          <w:szCs w:val="24"/>
          <w:lang w:val="en-US" w:eastAsia="ru-RU"/>
        </w:rPr>
        <w:t xml:space="preserve">, 21, </w:t>
      </w:r>
      <w:proofErr w:type="spellStart"/>
      <w:r>
        <w:rPr>
          <w:rFonts w:ascii="Times New Roman" w:eastAsia="Times New Roman" w:hAnsi="Times New Roman" w:cs="Times New Roman"/>
          <w:sz w:val="16"/>
          <w:szCs w:val="24"/>
          <w:lang w:val="en-US" w:eastAsia="ru-RU"/>
        </w:rPr>
        <w:t>bld</w:t>
      </w:r>
      <w:proofErr w:type="spellEnd"/>
      <w:r w:rsidR="00867DDB" w:rsidRPr="00E3720D">
        <w:rPr>
          <w:rFonts w:ascii="Times New Roman" w:eastAsia="Times New Roman" w:hAnsi="Times New Roman" w:cs="Times New Roman"/>
          <w:sz w:val="16"/>
          <w:szCs w:val="24"/>
          <w:lang w:val="en-US" w:eastAsia="ru-RU"/>
        </w:rPr>
        <w:t xml:space="preserve"> </w:t>
      </w:r>
      <w:r w:rsidR="00867DDB" w:rsidRPr="00A109DD">
        <w:rPr>
          <w:rFonts w:ascii="Times New Roman" w:eastAsia="Times New Roman" w:hAnsi="Times New Roman" w:cs="Times New Roman"/>
          <w:sz w:val="16"/>
          <w:szCs w:val="24"/>
          <w:lang w:eastAsia="ru-RU"/>
        </w:rPr>
        <w:t>А</w:t>
      </w:r>
      <w:r w:rsidR="00867DDB" w:rsidRPr="00E3720D">
        <w:rPr>
          <w:rFonts w:ascii="Times New Roman" w:eastAsia="Times New Roman" w:hAnsi="Times New Roman" w:cs="Times New Roman"/>
          <w:sz w:val="16"/>
          <w:szCs w:val="24"/>
          <w:lang w:val="en-US" w:eastAsia="ru-RU"/>
        </w:rPr>
        <w:t>,</w:t>
      </w:r>
      <w:r>
        <w:rPr>
          <w:rFonts w:ascii="Times New Roman" w:eastAsia="Times New Roman" w:hAnsi="Times New Roman" w:cs="Times New Roman"/>
          <w:sz w:val="16"/>
          <w:szCs w:val="24"/>
          <w:lang w:val="en-US" w:eastAsia="ru-RU"/>
        </w:rPr>
        <w:t xml:space="preserve"> Moscow</w:t>
      </w:r>
      <w:r w:rsidR="00867DDB" w:rsidRPr="00E3720D">
        <w:rPr>
          <w:rFonts w:ascii="Times New Roman" w:eastAsia="Times New Roman" w:hAnsi="Times New Roman" w:cs="Times New Roman"/>
          <w:sz w:val="16"/>
          <w:szCs w:val="24"/>
          <w:lang w:val="en-US" w:eastAsia="ru-RU"/>
        </w:rPr>
        <w:t xml:space="preserve">, </w:t>
      </w:r>
      <w:proofErr w:type="gramStart"/>
      <w:r>
        <w:rPr>
          <w:rFonts w:ascii="Times New Roman" w:eastAsia="Times New Roman" w:hAnsi="Times New Roman" w:cs="Times New Roman"/>
          <w:sz w:val="16"/>
          <w:szCs w:val="24"/>
          <w:lang w:val="en-US" w:eastAsia="ru-RU"/>
        </w:rPr>
        <w:t xml:space="preserve">Russia </w:t>
      </w:r>
      <w:r w:rsidR="00867DDB" w:rsidRPr="00E3720D">
        <w:rPr>
          <w:rFonts w:ascii="Times New Roman" w:eastAsia="Times New Roman" w:hAnsi="Times New Roman" w:cs="Times New Roman"/>
          <w:sz w:val="16"/>
          <w:szCs w:val="24"/>
          <w:lang w:val="en-US" w:eastAsia="ru-RU"/>
        </w:rPr>
        <w:t>,</w:t>
      </w:r>
      <w:proofErr w:type="gramEnd"/>
      <w:r w:rsidR="00867DDB" w:rsidRPr="00E3720D">
        <w:rPr>
          <w:rFonts w:ascii="Times New Roman" w:eastAsia="Times New Roman" w:hAnsi="Times New Roman" w:cs="Times New Roman"/>
          <w:sz w:val="16"/>
          <w:szCs w:val="24"/>
          <w:lang w:val="en-US" w:eastAsia="ru-RU"/>
        </w:rPr>
        <w:t xml:space="preserve"> 127018</w:t>
      </w:r>
    </w:p>
    <w:p w:rsidR="00867DDB" w:rsidRPr="00E3720D" w:rsidRDefault="00E3720D" w:rsidP="00867DDB">
      <w:pPr>
        <w:tabs>
          <w:tab w:val="center" w:pos="2160"/>
        </w:tabs>
        <w:spacing w:after="0" w:line="240" w:lineRule="auto"/>
        <w:ind w:left="2124"/>
        <w:rPr>
          <w:rFonts w:ascii="Times New Roman" w:eastAsia="Times New Roman" w:hAnsi="Times New Roman" w:cs="Times New Roman"/>
          <w:sz w:val="16"/>
          <w:szCs w:val="24"/>
          <w:lang w:val="en-US" w:eastAsia="ru-RU"/>
        </w:rPr>
      </w:pPr>
      <w:r>
        <w:rPr>
          <w:rFonts w:ascii="Times New Roman" w:eastAsia="Times New Roman" w:hAnsi="Times New Roman" w:cs="Times New Roman"/>
          <w:sz w:val="16"/>
          <w:szCs w:val="24"/>
          <w:lang w:val="en-US" w:eastAsia="ru-RU"/>
        </w:rPr>
        <w:t>tel</w:t>
      </w:r>
      <w:r w:rsidR="00867DDB" w:rsidRPr="00E3720D">
        <w:rPr>
          <w:rFonts w:ascii="Times New Roman" w:eastAsia="Times New Roman" w:hAnsi="Times New Roman" w:cs="Times New Roman"/>
          <w:sz w:val="16"/>
          <w:szCs w:val="24"/>
          <w:lang w:val="en-US" w:eastAsia="ru-RU"/>
        </w:rPr>
        <w:t xml:space="preserve">.: </w:t>
      </w:r>
      <w:r>
        <w:rPr>
          <w:rFonts w:ascii="Times New Roman" w:eastAsia="Times New Roman" w:hAnsi="Times New Roman" w:cs="Times New Roman"/>
          <w:sz w:val="16"/>
          <w:szCs w:val="24"/>
          <w:lang w:val="en-US" w:eastAsia="ru-RU"/>
        </w:rPr>
        <w:t xml:space="preserve">7 </w:t>
      </w:r>
      <w:r w:rsidR="00867DDB" w:rsidRPr="00E3720D">
        <w:rPr>
          <w:rFonts w:ascii="Times New Roman" w:eastAsia="Times New Roman" w:hAnsi="Times New Roman" w:cs="Times New Roman"/>
          <w:sz w:val="16"/>
          <w:szCs w:val="24"/>
          <w:lang w:val="en-US" w:eastAsia="ru-RU"/>
        </w:rPr>
        <w:t xml:space="preserve">(495) 287 67 01 </w:t>
      </w:r>
      <w:r>
        <w:rPr>
          <w:rFonts w:ascii="Times New Roman" w:eastAsia="Times New Roman" w:hAnsi="Times New Roman" w:cs="Times New Roman"/>
          <w:sz w:val="16"/>
          <w:szCs w:val="24"/>
          <w:lang w:val="en-US" w:eastAsia="ru-RU"/>
        </w:rPr>
        <w:t>fax</w:t>
      </w:r>
      <w:r w:rsidR="00867DDB" w:rsidRPr="00E3720D">
        <w:rPr>
          <w:rFonts w:ascii="Times New Roman" w:eastAsia="Times New Roman" w:hAnsi="Times New Roman" w:cs="Times New Roman"/>
          <w:sz w:val="16"/>
          <w:szCs w:val="24"/>
          <w:lang w:val="en-US" w:eastAsia="ru-RU"/>
        </w:rPr>
        <w:t xml:space="preserve">: </w:t>
      </w:r>
      <w:r>
        <w:rPr>
          <w:rFonts w:ascii="Times New Roman" w:eastAsia="Times New Roman" w:hAnsi="Times New Roman" w:cs="Times New Roman"/>
          <w:sz w:val="16"/>
          <w:szCs w:val="24"/>
          <w:lang w:val="en-US" w:eastAsia="ru-RU"/>
        </w:rPr>
        <w:t xml:space="preserve"> 7 </w:t>
      </w:r>
      <w:r w:rsidR="00867DDB" w:rsidRPr="00E3720D">
        <w:rPr>
          <w:rFonts w:ascii="Times New Roman" w:eastAsia="Times New Roman" w:hAnsi="Times New Roman" w:cs="Times New Roman"/>
          <w:sz w:val="16"/>
          <w:szCs w:val="24"/>
          <w:lang w:val="en-US" w:eastAsia="ru-RU"/>
        </w:rPr>
        <w:t>(495) 287 67 02</w:t>
      </w:r>
    </w:p>
    <w:p w:rsidR="00895F78" w:rsidRDefault="00895F78" w:rsidP="00617A7B">
      <w:pPr>
        <w:spacing w:after="0" w:line="240" w:lineRule="auto"/>
        <w:jc w:val="both"/>
        <w:rPr>
          <w:rFonts w:ascii="Tahoma" w:eastAsia="Times New Roman" w:hAnsi="Tahoma" w:cs="Tahoma"/>
          <w:b/>
          <w:bCs/>
          <w:sz w:val="24"/>
          <w:szCs w:val="24"/>
          <w:lang w:val="en-US" w:eastAsia="ru-RU"/>
        </w:rPr>
      </w:pPr>
    </w:p>
    <w:p w:rsidR="00895F78" w:rsidRPr="00973C31" w:rsidRDefault="00895F78" w:rsidP="00617A7B">
      <w:pPr>
        <w:spacing w:after="0" w:line="240" w:lineRule="auto"/>
        <w:jc w:val="both"/>
        <w:rPr>
          <w:rFonts w:ascii="Tahoma" w:eastAsia="Times New Roman" w:hAnsi="Tahoma" w:cs="Tahoma"/>
          <w:b/>
          <w:bCs/>
          <w:strike/>
          <w:sz w:val="24"/>
          <w:szCs w:val="24"/>
          <w:lang w:val="en-US" w:eastAsia="ru-RU"/>
        </w:rPr>
      </w:pPr>
    </w:p>
    <w:p w:rsidR="00595970" w:rsidRDefault="00426B9D" w:rsidP="00617A7B">
      <w:pPr>
        <w:spacing w:after="0" w:line="240" w:lineRule="auto"/>
        <w:jc w:val="both"/>
        <w:rPr>
          <w:rFonts w:ascii="Tahoma" w:eastAsia="Times New Roman" w:hAnsi="Tahoma" w:cs="Tahoma"/>
          <w:b/>
          <w:bCs/>
          <w:sz w:val="24"/>
          <w:szCs w:val="24"/>
          <w:lang w:val="en-US" w:eastAsia="ru-RU"/>
        </w:rPr>
      </w:pPr>
      <w:r w:rsidRPr="00895F78">
        <w:rPr>
          <w:rFonts w:ascii="Tahoma" w:eastAsia="Times New Roman" w:hAnsi="Tahoma" w:cs="Tahoma"/>
          <w:b/>
          <w:bCs/>
          <w:sz w:val="24"/>
          <w:szCs w:val="24"/>
          <w:lang w:val="en-US" w:eastAsia="ru-RU"/>
        </w:rPr>
        <w:t>RAO Energy System of East</w:t>
      </w:r>
      <w:r w:rsidR="00595970" w:rsidRPr="00595970">
        <w:rPr>
          <w:rFonts w:ascii="Tahoma" w:eastAsia="Times New Roman" w:hAnsi="Tahoma" w:cs="Tahoma"/>
          <w:b/>
          <w:bCs/>
          <w:sz w:val="24"/>
          <w:szCs w:val="24"/>
          <w:lang w:val="en-US" w:eastAsia="ru-RU"/>
        </w:rPr>
        <w:t xml:space="preserve"> </w:t>
      </w:r>
      <w:r w:rsidRPr="00895F78">
        <w:rPr>
          <w:rFonts w:ascii="Tahoma" w:eastAsia="Times New Roman" w:hAnsi="Tahoma" w:cs="Tahoma"/>
          <w:b/>
          <w:bCs/>
          <w:sz w:val="24"/>
          <w:szCs w:val="24"/>
          <w:lang w:val="en-US" w:eastAsia="ru-RU"/>
        </w:rPr>
        <w:t xml:space="preserve">Reports </w:t>
      </w:r>
      <w:r w:rsidR="00BF08A5">
        <w:rPr>
          <w:rFonts w:ascii="Tahoma" w:eastAsia="Times New Roman" w:hAnsi="Tahoma" w:cs="Tahoma"/>
          <w:b/>
          <w:bCs/>
          <w:sz w:val="24"/>
          <w:szCs w:val="24"/>
          <w:lang w:val="en-US" w:eastAsia="ru-RU"/>
        </w:rPr>
        <w:t xml:space="preserve">a </w:t>
      </w:r>
      <w:r w:rsidR="00210B6E">
        <w:rPr>
          <w:rFonts w:ascii="Tahoma" w:eastAsia="Times New Roman" w:hAnsi="Tahoma" w:cs="Tahoma"/>
          <w:b/>
          <w:bCs/>
          <w:sz w:val="24"/>
          <w:szCs w:val="24"/>
          <w:lang w:val="en-US" w:eastAsia="ru-RU"/>
        </w:rPr>
        <w:t>126</w:t>
      </w:r>
      <w:r w:rsidR="00A34513" w:rsidRPr="00A34513">
        <w:rPr>
          <w:rFonts w:ascii="Tahoma" w:eastAsia="Times New Roman" w:hAnsi="Tahoma" w:cs="Tahoma"/>
          <w:b/>
          <w:bCs/>
          <w:sz w:val="24"/>
          <w:szCs w:val="24"/>
          <w:lang w:val="en-US" w:eastAsia="ru-RU"/>
        </w:rPr>
        <w:t xml:space="preserve">% </w:t>
      </w:r>
      <w:r w:rsidR="00F81D2E">
        <w:rPr>
          <w:rFonts w:ascii="Tahoma" w:eastAsia="Times New Roman" w:hAnsi="Tahoma" w:cs="Tahoma"/>
          <w:b/>
          <w:bCs/>
          <w:sz w:val="24"/>
          <w:szCs w:val="24"/>
          <w:lang w:val="en-US" w:eastAsia="ru-RU"/>
        </w:rPr>
        <w:t xml:space="preserve">Increase in EBITDA </w:t>
      </w:r>
      <w:r w:rsidR="00BB1E0C">
        <w:rPr>
          <w:rFonts w:ascii="Tahoma" w:eastAsia="Times New Roman" w:hAnsi="Tahoma" w:cs="Tahoma"/>
          <w:b/>
          <w:bCs/>
          <w:sz w:val="24"/>
          <w:szCs w:val="24"/>
          <w:lang w:val="en-US" w:eastAsia="ru-RU"/>
        </w:rPr>
        <w:t>f</w:t>
      </w:r>
      <w:r w:rsidR="00D144E1">
        <w:rPr>
          <w:rFonts w:ascii="Tahoma" w:eastAsia="Times New Roman" w:hAnsi="Tahoma" w:cs="Tahoma"/>
          <w:b/>
          <w:bCs/>
          <w:sz w:val="24"/>
          <w:szCs w:val="24"/>
          <w:lang w:val="en-US" w:eastAsia="ru-RU"/>
        </w:rPr>
        <w:t xml:space="preserve">or </w:t>
      </w:r>
      <w:r w:rsidR="00210B6E">
        <w:rPr>
          <w:rFonts w:ascii="Tahoma" w:eastAsia="Times New Roman" w:hAnsi="Tahoma" w:cs="Tahoma"/>
          <w:b/>
          <w:bCs/>
          <w:sz w:val="24"/>
          <w:szCs w:val="24"/>
          <w:lang w:val="en-US" w:eastAsia="ru-RU"/>
        </w:rPr>
        <w:t>9</w:t>
      </w:r>
      <w:r w:rsidR="00F81D2E">
        <w:rPr>
          <w:rFonts w:ascii="Tahoma" w:eastAsia="Times New Roman" w:hAnsi="Tahoma" w:cs="Tahoma"/>
          <w:b/>
          <w:bCs/>
          <w:sz w:val="24"/>
          <w:szCs w:val="24"/>
          <w:lang w:val="en-US" w:eastAsia="ru-RU"/>
        </w:rPr>
        <w:t>m</w:t>
      </w:r>
      <w:r w:rsidR="00B36D93">
        <w:rPr>
          <w:rFonts w:ascii="Tahoma" w:eastAsia="Times New Roman" w:hAnsi="Tahoma" w:cs="Tahoma"/>
          <w:b/>
          <w:bCs/>
          <w:sz w:val="24"/>
          <w:szCs w:val="24"/>
          <w:lang w:val="en-US" w:eastAsia="ru-RU"/>
        </w:rPr>
        <w:t xml:space="preserve"> </w:t>
      </w:r>
      <w:r w:rsidR="00D144E1">
        <w:rPr>
          <w:rFonts w:ascii="Tahoma" w:eastAsia="Times New Roman" w:hAnsi="Tahoma" w:cs="Tahoma"/>
          <w:b/>
          <w:bCs/>
          <w:sz w:val="24"/>
          <w:szCs w:val="24"/>
          <w:lang w:val="en-US" w:eastAsia="ru-RU"/>
        </w:rPr>
        <w:t>201</w:t>
      </w:r>
      <w:r w:rsidR="00B36D93">
        <w:rPr>
          <w:rFonts w:ascii="Tahoma" w:eastAsia="Times New Roman" w:hAnsi="Tahoma" w:cs="Tahoma"/>
          <w:b/>
          <w:bCs/>
          <w:sz w:val="24"/>
          <w:szCs w:val="24"/>
          <w:lang w:val="en-US" w:eastAsia="ru-RU"/>
        </w:rPr>
        <w:t>3</w:t>
      </w:r>
      <w:r w:rsidR="00BB1E0C">
        <w:rPr>
          <w:rFonts w:ascii="Tahoma" w:eastAsia="Times New Roman" w:hAnsi="Tahoma" w:cs="Tahoma"/>
          <w:b/>
          <w:bCs/>
          <w:sz w:val="24"/>
          <w:szCs w:val="24"/>
          <w:lang w:val="en-US" w:eastAsia="ru-RU"/>
        </w:rPr>
        <w:t xml:space="preserve"> IFRS</w:t>
      </w:r>
    </w:p>
    <w:p w:rsidR="00D144E1" w:rsidRPr="00595970" w:rsidRDefault="00D144E1" w:rsidP="00617A7B">
      <w:pPr>
        <w:spacing w:after="0" w:line="240" w:lineRule="auto"/>
        <w:jc w:val="both"/>
        <w:rPr>
          <w:rFonts w:ascii="Tahoma" w:eastAsia="Times New Roman" w:hAnsi="Tahoma" w:cs="Tahoma"/>
          <w:b/>
          <w:bCs/>
          <w:sz w:val="24"/>
          <w:szCs w:val="24"/>
          <w:lang w:val="en-US" w:eastAsia="ru-RU"/>
        </w:rPr>
      </w:pPr>
    </w:p>
    <w:p w:rsidR="00595970" w:rsidRPr="00595970" w:rsidRDefault="00581A64"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b/>
          <w:sz w:val="24"/>
          <w:szCs w:val="24"/>
          <w:lang w:val="en-US" w:eastAsia="ru-RU"/>
        </w:rPr>
        <w:t>December</w:t>
      </w:r>
      <w:r w:rsidR="008478C5" w:rsidRPr="00D144E1">
        <w:rPr>
          <w:rFonts w:ascii="Tahoma" w:eastAsia="Times New Roman" w:hAnsi="Tahoma" w:cs="Tahoma"/>
          <w:b/>
          <w:sz w:val="24"/>
          <w:szCs w:val="24"/>
          <w:lang w:val="en-US" w:eastAsia="ru-RU"/>
        </w:rPr>
        <w:t xml:space="preserve"> </w:t>
      </w:r>
      <w:r>
        <w:rPr>
          <w:rFonts w:ascii="Tahoma" w:eastAsia="Times New Roman" w:hAnsi="Tahoma" w:cs="Tahoma"/>
          <w:b/>
          <w:sz w:val="24"/>
          <w:szCs w:val="24"/>
          <w:lang w:val="en-US" w:eastAsia="ru-RU"/>
        </w:rPr>
        <w:t>16</w:t>
      </w:r>
      <w:r w:rsidR="00D144E1" w:rsidRPr="00D144E1">
        <w:rPr>
          <w:rFonts w:ascii="Tahoma" w:eastAsia="Times New Roman" w:hAnsi="Tahoma" w:cs="Tahoma"/>
          <w:b/>
          <w:sz w:val="24"/>
          <w:szCs w:val="24"/>
          <w:lang w:val="en-US" w:eastAsia="ru-RU"/>
        </w:rPr>
        <w:t>, Moscow</w:t>
      </w:r>
      <w:r w:rsidR="00D144E1">
        <w:rPr>
          <w:rFonts w:ascii="Tahoma" w:eastAsia="Times New Roman" w:hAnsi="Tahoma" w:cs="Tahoma"/>
          <w:sz w:val="24"/>
          <w:szCs w:val="24"/>
          <w:lang w:val="en-US" w:eastAsia="ru-RU"/>
        </w:rPr>
        <w:t xml:space="preserve"> - </w:t>
      </w:r>
      <w:r w:rsidR="00426B9D" w:rsidRPr="00617A7B">
        <w:rPr>
          <w:rFonts w:ascii="Tahoma" w:eastAsia="Times New Roman" w:hAnsi="Tahoma" w:cs="Tahoma"/>
          <w:sz w:val="24"/>
          <w:szCs w:val="24"/>
          <w:lang w:val="en-US" w:eastAsia="ru-RU"/>
        </w:rPr>
        <w:t>RAO Energy System of East</w:t>
      </w:r>
      <w:r w:rsidR="00595970" w:rsidRPr="00595970">
        <w:rPr>
          <w:rFonts w:ascii="Tahoma" w:eastAsia="Times New Roman" w:hAnsi="Tahoma" w:cs="Tahoma"/>
          <w:sz w:val="24"/>
          <w:szCs w:val="24"/>
          <w:lang w:val="en-US" w:eastAsia="ru-RU"/>
        </w:rPr>
        <w:t xml:space="preserve"> Group (ticker symbol: </w:t>
      </w:r>
      <w:r w:rsidR="00426B9D" w:rsidRPr="00617A7B">
        <w:rPr>
          <w:rFonts w:ascii="Tahoma" w:eastAsia="Times New Roman" w:hAnsi="Tahoma" w:cs="Tahoma"/>
          <w:sz w:val="24"/>
          <w:szCs w:val="24"/>
          <w:lang w:val="en-US" w:eastAsia="ru-RU"/>
        </w:rPr>
        <w:t>VRAO; ISIN code RU000A0JPVL6</w:t>
      </w:r>
      <w:r w:rsidR="00595970" w:rsidRPr="00595970">
        <w:rPr>
          <w:rFonts w:ascii="Tahoma" w:eastAsia="Times New Roman" w:hAnsi="Tahoma" w:cs="Tahoma"/>
          <w:sz w:val="24"/>
          <w:szCs w:val="24"/>
          <w:lang w:val="en-US" w:eastAsia="ru-RU"/>
        </w:rPr>
        <w:t xml:space="preserve">) </w:t>
      </w:r>
      <w:r w:rsidR="00B36D93">
        <w:rPr>
          <w:rFonts w:ascii="Tahoma" w:eastAsia="Times New Roman" w:hAnsi="Tahoma" w:cs="Tahoma"/>
          <w:sz w:val="24"/>
          <w:szCs w:val="24"/>
          <w:lang w:val="en-US" w:eastAsia="ru-RU"/>
        </w:rPr>
        <w:t>publishes</w:t>
      </w:r>
      <w:r w:rsidR="00595970" w:rsidRPr="00595970">
        <w:rPr>
          <w:rFonts w:ascii="Tahoma" w:eastAsia="Times New Roman" w:hAnsi="Tahoma" w:cs="Tahoma"/>
          <w:sz w:val="24"/>
          <w:szCs w:val="24"/>
          <w:lang w:val="en-US" w:eastAsia="ru-RU"/>
        </w:rPr>
        <w:t xml:space="preserve"> its </w:t>
      </w:r>
      <w:r w:rsidR="00D144E1">
        <w:rPr>
          <w:rFonts w:ascii="Tahoma" w:eastAsia="Times New Roman" w:hAnsi="Tahoma" w:cs="Tahoma"/>
          <w:sz w:val="24"/>
          <w:szCs w:val="24"/>
          <w:lang w:val="en-US" w:eastAsia="ru-RU"/>
        </w:rPr>
        <w:t>un</w:t>
      </w:r>
      <w:r w:rsidR="00595970" w:rsidRPr="00595970">
        <w:rPr>
          <w:rFonts w:ascii="Tahoma" w:eastAsia="Times New Roman" w:hAnsi="Tahoma" w:cs="Tahoma"/>
          <w:sz w:val="24"/>
          <w:szCs w:val="24"/>
          <w:lang w:val="en-US" w:eastAsia="ru-RU"/>
        </w:rPr>
        <w:t>audited consolidated financial results</w:t>
      </w:r>
      <w:r w:rsidR="00B36D93">
        <w:rPr>
          <w:rFonts w:ascii="Tahoma" w:eastAsia="Times New Roman" w:hAnsi="Tahoma" w:cs="Tahoma"/>
          <w:sz w:val="24"/>
          <w:szCs w:val="24"/>
          <w:lang w:val="en-US" w:eastAsia="ru-RU"/>
        </w:rPr>
        <w:t xml:space="preserve"> for the </w:t>
      </w:r>
      <w:r>
        <w:rPr>
          <w:rFonts w:ascii="Tahoma" w:eastAsia="Times New Roman" w:hAnsi="Tahoma" w:cs="Tahoma"/>
          <w:sz w:val="24"/>
          <w:szCs w:val="24"/>
          <w:lang w:val="en-US" w:eastAsia="ru-RU"/>
        </w:rPr>
        <w:t>9</w:t>
      </w:r>
      <w:r w:rsidR="00F81D2E">
        <w:rPr>
          <w:rFonts w:ascii="Tahoma" w:eastAsia="Times New Roman" w:hAnsi="Tahoma" w:cs="Tahoma"/>
          <w:sz w:val="24"/>
          <w:szCs w:val="24"/>
          <w:lang w:val="en-US" w:eastAsia="ru-RU"/>
        </w:rPr>
        <w:t xml:space="preserve"> months</w:t>
      </w:r>
      <w:r w:rsidR="00B36D93">
        <w:rPr>
          <w:rFonts w:ascii="Tahoma" w:eastAsia="Times New Roman" w:hAnsi="Tahoma" w:cs="Tahoma"/>
          <w:sz w:val="24"/>
          <w:szCs w:val="24"/>
          <w:lang w:val="en-US" w:eastAsia="ru-RU"/>
        </w:rPr>
        <w:t xml:space="preserve"> of 2013</w:t>
      </w:r>
      <w:r w:rsidR="00595970" w:rsidRPr="00595970">
        <w:rPr>
          <w:rFonts w:ascii="Tahoma" w:eastAsia="Times New Roman" w:hAnsi="Tahoma" w:cs="Tahoma"/>
          <w:sz w:val="24"/>
          <w:szCs w:val="24"/>
          <w:lang w:val="en-US" w:eastAsia="ru-RU"/>
        </w:rPr>
        <w:t>, prepared in accordance with International Finan</w:t>
      </w:r>
      <w:r w:rsidR="00426B9D" w:rsidRPr="00617A7B">
        <w:rPr>
          <w:rFonts w:ascii="Tahoma" w:eastAsia="Times New Roman" w:hAnsi="Tahoma" w:cs="Tahoma"/>
          <w:sz w:val="24"/>
          <w:szCs w:val="24"/>
          <w:lang w:val="en-US" w:eastAsia="ru-RU"/>
        </w:rPr>
        <w:t>cial Reporting St</w:t>
      </w:r>
      <w:r w:rsidR="0047770E" w:rsidRPr="00617A7B">
        <w:rPr>
          <w:rFonts w:ascii="Tahoma" w:eastAsia="Times New Roman" w:hAnsi="Tahoma" w:cs="Tahoma"/>
          <w:sz w:val="24"/>
          <w:szCs w:val="24"/>
          <w:lang w:val="en-US" w:eastAsia="ru-RU"/>
        </w:rPr>
        <w:t>andards (IFRS)</w:t>
      </w:r>
      <w:r w:rsidR="00D144E1">
        <w:rPr>
          <w:rFonts w:ascii="Tahoma" w:eastAsia="Times New Roman" w:hAnsi="Tahoma" w:cs="Tahoma"/>
          <w:sz w:val="24"/>
          <w:szCs w:val="24"/>
          <w:lang w:val="en-US" w:eastAsia="ru-RU"/>
        </w:rPr>
        <w:t>. The Group</w:t>
      </w:r>
      <w:r w:rsidR="006C487E">
        <w:rPr>
          <w:rFonts w:ascii="Tahoma" w:eastAsia="Times New Roman" w:hAnsi="Tahoma" w:cs="Tahoma"/>
          <w:sz w:val="24"/>
          <w:szCs w:val="24"/>
          <w:lang w:val="en-US" w:eastAsia="ru-RU"/>
        </w:rPr>
        <w:t>’s</w:t>
      </w:r>
      <w:r w:rsidR="00D144E1">
        <w:rPr>
          <w:rFonts w:ascii="Tahoma" w:eastAsia="Times New Roman" w:hAnsi="Tahoma" w:cs="Tahoma"/>
          <w:sz w:val="24"/>
          <w:szCs w:val="24"/>
          <w:lang w:val="en-US" w:eastAsia="ru-RU"/>
        </w:rPr>
        <w:t xml:space="preserve"> </w:t>
      </w:r>
      <w:r w:rsidR="00B36D93">
        <w:rPr>
          <w:rFonts w:ascii="Tahoma" w:eastAsia="Times New Roman" w:hAnsi="Tahoma" w:cs="Tahoma"/>
          <w:sz w:val="24"/>
          <w:szCs w:val="24"/>
          <w:lang w:val="en-US" w:eastAsia="ru-RU"/>
        </w:rPr>
        <w:t xml:space="preserve">net </w:t>
      </w:r>
      <w:r>
        <w:rPr>
          <w:rFonts w:ascii="Tahoma" w:eastAsia="Times New Roman" w:hAnsi="Tahoma" w:cs="Tahoma"/>
          <w:sz w:val="24"/>
          <w:szCs w:val="24"/>
          <w:lang w:val="en-US" w:eastAsia="ru-RU"/>
        </w:rPr>
        <w:t>loss</w:t>
      </w:r>
      <w:r w:rsidR="00B36D93">
        <w:rPr>
          <w:rFonts w:ascii="Tahoma" w:eastAsia="Times New Roman" w:hAnsi="Tahoma" w:cs="Tahoma"/>
          <w:sz w:val="24"/>
          <w:szCs w:val="24"/>
          <w:lang w:val="en-US" w:eastAsia="ru-RU"/>
        </w:rPr>
        <w:t xml:space="preserve"> </w:t>
      </w:r>
      <w:r w:rsidR="00B36D93" w:rsidRPr="00B36D93">
        <w:rPr>
          <w:rFonts w:ascii="Tahoma" w:eastAsia="Times New Roman" w:hAnsi="Tahoma" w:cs="Tahoma"/>
          <w:sz w:val="24"/>
          <w:szCs w:val="24"/>
          <w:lang w:val="en-US" w:eastAsia="ru-RU"/>
        </w:rPr>
        <w:t xml:space="preserve">for the </w:t>
      </w:r>
      <w:r>
        <w:rPr>
          <w:rFonts w:ascii="Tahoma" w:eastAsia="Times New Roman" w:hAnsi="Tahoma" w:cs="Tahoma"/>
          <w:sz w:val="24"/>
          <w:szCs w:val="24"/>
          <w:lang w:val="en-US" w:eastAsia="ru-RU"/>
        </w:rPr>
        <w:t>9</w:t>
      </w:r>
      <w:r w:rsidR="00B36D93" w:rsidRPr="00B36D93">
        <w:rPr>
          <w:rFonts w:ascii="Tahoma" w:eastAsia="Times New Roman" w:hAnsi="Tahoma" w:cs="Tahoma"/>
          <w:sz w:val="24"/>
          <w:szCs w:val="24"/>
          <w:lang w:val="en-US" w:eastAsia="ru-RU"/>
        </w:rPr>
        <w:t xml:space="preserve"> months ended </w:t>
      </w:r>
      <w:r>
        <w:rPr>
          <w:rFonts w:ascii="Tahoma" w:eastAsia="Times New Roman" w:hAnsi="Tahoma" w:cs="Tahoma"/>
          <w:sz w:val="24"/>
          <w:szCs w:val="24"/>
          <w:lang w:val="en-US" w:eastAsia="ru-RU"/>
        </w:rPr>
        <w:t>September</w:t>
      </w:r>
      <w:r w:rsidR="00F81D2E">
        <w:rPr>
          <w:rFonts w:ascii="Tahoma" w:eastAsia="Times New Roman" w:hAnsi="Tahoma" w:cs="Tahoma"/>
          <w:sz w:val="24"/>
          <w:szCs w:val="24"/>
          <w:lang w:val="en-US" w:eastAsia="ru-RU"/>
        </w:rPr>
        <w:t xml:space="preserve"> </w:t>
      </w:r>
      <w:r w:rsidR="00B36D93" w:rsidRPr="00B36D93">
        <w:rPr>
          <w:rFonts w:ascii="Tahoma" w:eastAsia="Times New Roman" w:hAnsi="Tahoma" w:cs="Tahoma"/>
          <w:sz w:val="24"/>
          <w:szCs w:val="24"/>
          <w:lang w:val="en-US" w:eastAsia="ru-RU"/>
        </w:rPr>
        <w:t>3</w:t>
      </w:r>
      <w:r w:rsidR="00F81D2E">
        <w:rPr>
          <w:rFonts w:ascii="Tahoma" w:eastAsia="Times New Roman" w:hAnsi="Tahoma" w:cs="Tahoma"/>
          <w:sz w:val="24"/>
          <w:szCs w:val="24"/>
          <w:lang w:val="en-US" w:eastAsia="ru-RU"/>
        </w:rPr>
        <w:t>0</w:t>
      </w:r>
      <w:r w:rsidR="00B36D93" w:rsidRPr="00B36D93">
        <w:rPr>
          <w:rFonts w:ascii="Tahoma" w:eastAsia="Times New Roman" w:hAnsi="Tahoma" w:cs="Tahoma"/>
          <w:sz w:val="24"/>
          <w:szCs w:val="24"/>
          <w:lang w:val="en-US" w:eastAsia="ru-RU"/>
        </w:rPr>
        <w:t>, 2013</w:t>
      </w:r>
      <w:r w:rsidR="00B36D93">
        <w:rPr>
          <w:rFonts w:ascii="Tahoma" w:eastAsia="Times New Roman" w:hAnsi="Tahoma" w:cs="Tahoma"/>
          <w:sz w:val="24"/>
          <w:szCs w:val="24"/>
          <w:lang w:val="en-US" w:eastAsia="ru-RU"/>
        </w:rPr>
        <w:t xml:space="preserve"> </w:t>
      </w:r>
      <w:r w:rsidR="00F81D2E">
        <w:rPr>
          <w:rFonts w:ascii="Tahoma" w:eastAsia="Times New Roman" w:hAnsi="Tahoma" w:cs="Tahoma"/>
          <w:sz w:val="24"/>
          <w:szCs w:val="24"/>
          <w:lang w:val="en-US" w:eastAsia="ru-RU"/>
        </w:rPr>
        <w:t xml:space="preserve">amounted to </w:t>
      </w:r>
      <w:r>
        <w:rPr>
          <w:rFonts w:ascii="Tahoma" w:eastAsia="Times New Roman" w:hAnsi="Tahoma" w:cs="Tahoma"/>
          <w:sz w:val="24"/>
          <w:szCs w:val="24"/>
          <w:lang w:val="en-US" w:eastAsia="ru-RU"/>
        </w:rPr>
        <w:t>1</w:t>
      </w:r>
      <w:r w:rsidR="00F81D2E">
        <w:rPr>
          <w:rFonts w:ascii="Tahoma" w:eastAsia="Times New Roman" w:hAnsi="Tahoma" w:cs="Tahoma"/>
          <w:sz w:val="24"/>
          <w:szCs w:val="24"/>
          <w:lang w:val="en-US" w:eastAsia="ru-RU"/>
        </w:rPr>
        <w:t>,0</w:t>
      </w:r>
      <w:r>
        <w:rPr>
          <w:rFonts w:ascii="Tahoma" w:eastAsia="Times New Roman" w:hAnsi="Tahoma" w:cs="Tahoma"/>
          <w:sz w:val="24"/>
          <w:szCs w:val="24"/>
          <w:lang w:val="en-US" w:eastAsia="ru-RU"/>
        </w:rPr>
        <w:t>27</w:t>
      </w:r>
      <w:r w:rsidR="00F81D2E">
        <w:rPr>
          <w:rFonts w:ascii="Tahoma" w:eastAsia="Times New Roman" w:hAnsi="Tahoma" w:cs="Tahoma"/>
          <w:sz w:val="24"/>
          <w:szCs w:val="24"/>
          <w:lang w:val="en-US" w:eastAsia="ru-RU"/>
        </w:rPr>
        <w:t xml:space="preserve"> </w:t>
      </w:r>
      <w:proofErr w:type="spellStart"/>
      <w:r w:rsidR="00F81D2E">
        <w:rPr>
          <w:rFonts w:ascii="Tahoma" w:eastAsia="Times New Roman" w:hAnsi="Tahoma" w:cs="Tahoma"/>
          <w:sz w:val="24"/>
          <w:szCs w:val="24"/>
          <w:lang w:val="en-US" w:eastAsia="ru-RU"/>
        </w:rPr>
        <w:t>mln</w:t>
      </w:r>
      <w:proofErr w:type="spellEnd"/>
      <w:r w:rsidR="00F81D2E">
        <w:rPr>
          <w:rFonts w:ascii="Tahoma" w:eastAsia="Times New Roman" w:hAnsi="Tahoma" w:cs="Tahoma"/>
          <w:sz w:val="24"/>
          <w:szCs w:val="24"/>
          <w:lang w:val="en-US" w:eastAsia="ru-RU"/>
        </w:rPr>
        <w:t xml:space="preserve"> </w:t>
      </w:r>
      <w:proofErr w:type="gramStart"/>
      <w:r w:rsidR="00F81D2E">
        <w:rPr>
          <w:rFonts w:ascii="Tahoma" w:eastAsia="Times New Roman" w:hAnsi="Tahoma" w:cs="Tahoma"/>
          <w:sz w:val="24"/>
          <w:szCs w:val="24"/>
          <w:lang w:val="en-US" w:eastAsia="ru-RU"/>
        </w:rPr>
        <w:t>RUB</w:t>
      </w:r>
      <w:proofErr w:type="gramEnd"/>
      <w:r w:rsidR="00F81D2E">
        <w:rPr>
          <w:rFonts w:ascii="Tahoma" w:eastAsia="Times New Roman" w:hAnsi="Tahoma" w:cs="Tahoma"/>
          <w:sz w:val="24"/>
          <w:szCs w:val="24"/>
          <w:lang w:val="en-US" w:eastAsia="ru-RU"/>
        </w:rPr>
        <w:t xml:space="preserve"> against a </w:t>
      </w:r>
      <w:r>
        <w:rPr>
          <w:rFonts w:ascii="Tahoma" w:eastAsia="Times New Roman" w:hAnsi="Tahoma" w:cs="Tahoma"/>
          <w:sz w:val="24"/>
          <w:szCs w:val="24"/>
          <w:lang w:val="en-US" w:eastAsia="ru-RU"/>
        </w:rPr>
        <w:t>10</w:t>
      </w:r>
      <w:r w:rsidR="00F81D2E">
        <w:rPr>
          <w:rFonts w:ascii="Tahoma" w:eastAsia="Times New Roman" w:hAnsi="Tahoma" w:cs="Tahoma"/>
          <w:sz w:val="24"/>
          <w:szCs w:val="24"/>
          <w:lang w:val="en-US" w:eastAsia="ru-RU"/>
        </w:rPr>
        <w:t>,</w:t>
      </w:r>
      <w:r>
        <w:rPr>
          <w:rFonts w:ascii="Tahoma" w:eastAsia="Times New Roman" w:hAnsi="Tahoma" w:cs="Tahoma"/>
          <w:sz w:val="24"/>
          <w:szCs w:val="24"/>
          <w:lang w:val="en-US" w:eastAsia="ru-RU"/>
        </w:rPr>
        <w:t>9</w:t>
      </w:r>
      <w:r w:rsidR="00F81D2E">
        <w:rPr>
          <w:rFonts w:ascii="Tahoma" w:eastAsia="Times New Roman" w:hAnsi="Tahoma" w:cs="Tahoma"/>
          <w:sz w:val="24"/>
          <w:szCs w:val="24"/>
          <w:lang w:val="en-US" w:eastAsia="ru-RU"/>
        </w:rPr>
        <w:t>6</w:t>
      </w:r>
      <w:r>
        <w:rPr>
          <w:rFonts w:ascii="Tahoma" w:eastAsia="Times New Roman" w:hAnsi="Tahoma" w:cs="Tahoma"/>
          <w:sz w:val="24"/>
          <w:szCs w:val="24"/>
          <w:lang w:val="en-US" w:eastAsia="ru-RU"/>
        </w:rPr>
        <w:t>5</w:t>
      </w:r>
      <w:r w:rsidR="00F81D2E">
        <w:rPr>
          <w:rFonts w:ascii="Tahoma" w:eastAsia="Times New Roman" w:hAnsi="Tahoma" w:cs="Tahoma"/>
          <w:sz w:val="24"/>
          <w:szCs w:val="24"/>
          <w:lang w:val="en-US" w:eastAsia="ru-RU"/>
        </w:rPr>
        <w:t xml:space="preserve"> </w:t>
      </w:r>
      <w:proofErr w:type="spellStart"/>
      <w:r w:rsidR="00F81D2E">
        <w:rPr>
          <w:rFonts w:ascii="Tahoma" w:eastAsia="Times New Roman" w:hAnsi="Tahoma" w:cs="Tahoma"/>
          <w:sz w:val="24"/>
          <w:szCs w:val="24"/>
          <w:lang w:val="en-US" w:eastAsia="ru-RU"/>
        </w:rPr>
        <w:t>mln</w:t>
      </w:r>
      <w:proofErr w:type="spellEnd"/>
      <w:r w:rsidR="00F81D2E">
        <w:rPr>
          <w:rFonts w:ascii="Tahoma" w:eastAsia="Times New Roman" w:hAnsi="Tahoma" w:cs="Tahoma"/>
          <w:sz w:val="24"/>
          <w:szCs w:val="24"/>
          <w:lang w:val="en-US" w:eastAsia="ru-RU"/>
        </w:rPr>
        <w:t xml:space="preserve"> loss a year earlier. EBITDA increased </w:t>
      </w:r>
      <w:r>
        <w:rPr>
          <w:rFonts w:ascii="Tahoma" w:eastAsia="Times New Roman" w:hAnsi="Tahoma" w:cs="Tahoma"/>
          <w:sz w:val="24"/>
          <w:szCs w:val="24"/>
          <w:lang w:val="en-US" w:eastAsia="ru-RU"/>
        </w:rPr>
        <w:t>by 1</w:t>
      </w:r>
      <w:r w:rsidR="00F81D2E">
        <w:rPr>
          <w:rFonts w:ascii="Tahoma" w:eastAsia="Times New Roman" w:hAnsi="Tahoma" w:cs="Tahoma"/>
          <w:sz w:val="24"/>
          <w:szCs w:val="24"/>
          <w:lang w:val="en-US" w:eastAsia="ru-RU"/>
        </w:rPr>
        <w:t>2</w:t>
      </w:r>
      <w:r>
        <w:rPr>
          <w:rFonts w:ascii="Tahoma" w:eastAsia="Times New Roman" w:hAnsi="Tahoma" w:cs="Tahoma"/>
          <w:sz w:val="24"/>
          <w:szCs w:val="24"/>
          <w:lang w:val="en-US" w:eastAsia="ru-RU"/>
        </w:rPr>
        <w:t>6</w:t>
      </w:r>
      <w:r w:rsidR="00F81D2E">
        <w:rPr>
          <w:rFonts w:ascii="Tahoma" w:eastAsia="Times New Roman" w:hAnsi="Tahoma" w:cs="Tahoma"/>
          <w:sz w:val="24"/>
          <w:szCs w:val="24"/>
          <w:lang w:val="en-US" w:eastAsia="ru-RU"/>
        </w:rPr>
        <w:t>%</w:t>
      </w:r>
      <w:r w:rsidR="00B36D93">
        <w:rPr>
          <w:rFonts w:ascii="Tahoma" w:eastAsia="Times New Roman" w:hAnsi="Tahoma" w:cs="Tahoma"/>
          <w:sz w:val="24"/>
          <w:szCs w:val="24"/>
          <w:lang w:val="en-US" w:eastAsia="ru-RU"/>
        </w:rPr>
        <w:t xml:space="preserve"> to </w:t>
      </w:r>
      <w:r>
        <w:rPr>
          <w:rFonts w:ascii="Tahoma" w:eastAsia="Times New Roman" w:hAnsi="Tahoma" w:cs="Tahoma"/>
          <w:sz w:val="24"/>
          <w:szCs w:val="24"/>
          <w:lang w:val="en-US" w:eastAsia="ru-RU"/>
        </w:rPr>
        <w:t>5</w:t>
      </w:r>
      <w:r w:rsidR="00F81D2E">
        <w:rPr>
          <w:rFonts w:ascii="Tahoma" w:eastAsia="Times New Roman" w:hAnsi="Tahoma" w:cs="Tahoma"/>
          <w:sz w:val="24"/>
          <w:szCs w:val="24"/>
          <w:lang w:val="en-US" w:eastAsia="ru-RU"/>
        </w:rPr>
        <w:t>,7</w:t>
      </w:r>
      <w:r>
        <w:rPr>
          <w:rFonts w:ascii="Tahoma" w:eastAsia="Times New Roman" w:hAnsi="Tahoma" w:cs="Tahoma"/>
          <w:sz w:val="24"/>
          <w:szCs w:val="24"/>
          <w:lang w:val="en-US" w:eastAsia="ru-RU"/>
        </w:rPr>
        <w:t>66</w:t>
      </w:r>
      <w:r w:rsidR="00F81D2E">
        <w:rPr>
          <w:rFonts w:ascii="Tahoma" w:eastAsia="Times New Roman" w:hAnsi="Tahoma" w:cs="Tahoma"/>
          <w:sz w:val="24"/>
          <w:szCs w:val="24"/>
          <w:lang w:val="en-US" w:eastAsia="ru-RU"/>
        </w:rPr>
        <w:t xml:space="preserve"> </w:t>
      </w:r>
      <w:proofErr w:type="spellStart"/>
      <w:r w:rsidR="00F81D2E">
        <w:rPr>
          <w:rFonts w:ascii="Tahoma" w:eastAsia="Times New Roman" w:hAnsi="Tahoma" w:cs="Tahoma"/>
          <w:sz w:val="24"/>
          <w:szCs w:val="24"/>
          <w:lang w:val="en-US" w:eastAsia="ru-RU"/>
        </w:rPr>
        <w:t>mln</w:t>
      </w:r>
      <w:proofErr w:type="spellEnd"/>
      <w:r w:rsidR="00B36D93">
        <w:rPr>
          <w:rFonts w:ascii="Tahoma" w:eastAsia="Times New Roman" w:hAnsi="Tahoma" w:cs="Tahoma"/>
          <w:sz w:val="24"/>
          <w:szCs w:val="24"/>
          <w:lang w:val="en-US" w:eastAsia="ru-RU"/>
        </w:rPr>
        <w:t xml:space="preserve"> </w:t>
      </w:r>
      <w:r w:rsidR="00F81D2E">
        <w:rPr>
          <w:rFonts w:ascii="Tahoma" w:eastAsia="Times New Roman" w:hAnsi="Tahoma" w:cs="Tahoma"/>
          <w:sz w:val="24"/>
          <w:szCs w:val="24"/>
          <w:lang w:val="en-US" w:eastAsia="ru-RU"/>
        </w:rPr>
        <w:t>RUB</w:t>
      </w:r>
      <w:r w:rsidR="008478C5">
        <w:rPr>
          <w:rFonts w:ascii="Tahoma" w:eastAsia="Times New Roman" w:hAnsi="Tahoma" w:cs="Tahoma"/>
          <w:sz w:val="24"/>
          <w:szCs w:val="24"/>
          <w:lang w:val="en-US" w:eastAsia="ru-RU"/>
        </w:rPr>
        <w:t>.</w:t>
      </w:r>
    </w:p>
    <w:p w:rsidR="00305588" w:rsidRPr="00082875" w:rsidRDefault="00305588" w:rsidP="00305588">
      <w:pPr>
        <w:spacing w:after="0" w:line="240" w:lineRule="auto"/>
        <w:jc w:val="both"/>
        <w:rPr>
          <w:rFonts w:ascii="Tahoma" w:eastAsia="Times New Roman" w:hAnsi="Tahoma" w:cs="Tahoma"/>
          <w:b/>
          <w:bCs/>
          <w:sz w:val="24"/>
          <w:szCs w:val="24"/>
          <w:lang w:val="en-US" w:eastAsia="ru-RU"/>
        </w:rPr>
      </w:pPr>
    </w:p>
    <w:p w:rsidR="00305588" w:rsidRPr="00881F01" w:rsidRDefault="00305588" w:rsidP="00305588">
      <w:pPr>
        <w:spacing w:after="0" w:line="240" w:lineRule="auto"/>
        <w:jc w:val="both"/>
        <w:rPr>
          <w:rFonts w:ascii="Tahoma" w:eastAsia="Times New Roman" w:hAnsi="Tahoma" w:cs="Tahoma"/>
          <w:bCs/>
          <w:sz w:val="24"/>
          <w:szCs w:val="24"/>
          <w:lang w:val="en-US" w:eastAsia="ru-RU"/>
        </w:rPr>
      </w:pPr>
      <w:r>
        <w:rPr>
          <w:rFonts w:ascii="Tahoma" w:eastAsia="Times New Roman" w:hAnsi="Tahoma" w:cs="Tahoma"/>
          <w:b/>
          <w:bCs/>
          <w:sz w:val="24"/>
          <w:szCs w:val="24"/>
          <w:lang w:val="en-US" w:eastAsia="ru-RU"/>
        </w:rPr>
        <w:t xml:space="preserve">Financial Highlights </w:t>
      </w:r>
      <w:r w:rsidRPr="00881F01">
        <w:rPr>
          <w:rFonts w:ascii="Tahoma" w:eastAsia="Times New Roman" w:hAnsi="Tahoma" w:cs="Tahoma"/>
          <w:bCs/>
          <w:sz w:val="24"/>
          <w:szCs w:val="24"/>
          <w:lang w:val="en-US" w:eastAsia="ru-RU"/>
        </w:rPr>
        <w:t>(</w:t>
      </w:r>
      <w:r w:rsidR="00881F01" w:rsidRPr="00881F01">
        <w:rPr>
          <w:rFonts w:ascii="Tahoma" w:eastAsia="Times New Roman" w:hAnsi="Tahoma" w:cs="Tahoma"/>
          <w:bCs/>
          <w:i/>
          <w:sz w:val="24"/>
          <w:szCs w:val="24"/>
          <w:lang w:val="en-US" w:eastAsia="ru-RU"/>
        </w:rPr>
        <w:t>RUB</w:t>
      </w:r>
      <w:r w:rsidR="00881F01">
        <w:rPr>
          <w:rFonts w:ascii="Tahoma" w:eastAsia="Times New Roman" w:hAnsi="Tahoma" w:cs="Tahoma"/>
          <w:bCs/>
          <w:i/>
          <w:sz w:val="24"/>
          <w:szCs w:val="24"/>
          <w:lang w:val="en-US" w:eastAsia="ru-RU"/>
        </w:rPr>
        <w:t xml:space="preserve"> in</w:t>
      </w:r>
      <w:r w:rsidR="00881F01" w:rsidRPr="00881F01">
        <w:rPr>
          <w:rFonts w:ascii="Tahoma" w:eastAsia="Times New Roman" w:hAnsi="Tahoma" w:cs="Tahoma"/>
          <w:bCs/>
          <w:i/>
          <w:sz w:val="24"/>
          <w:szCs w:val="24"/>
          <w:lang w:val="en-US" w:eastAsia="ru-RU"/>
        </w:rPr>
        <w:t xml:space="preserve"> </w:t>
      </w:r>
      <w:r w:rsidR="002C260F" w:rsidRPr="00881F01">
        <w:rPr>
          <w:rFonts w:ascii="Tahoma" w:eastAsia="Times New Roman" w:hAnsi="Tahoma" w:cs="Tahoma"/>
          <w:bCs/>
          <w:i/>
          <w:sz w:val="24"/>
          <w:szCs w:val="24"/>
          <w:lang w:val="en-US" w:eastAsia="ru-RU"/>
        </w:rPr>
        <w:t>million</w:t>
      </w:r>
      <w:r w:rsidR="00881F01" w:rsidRPr="00881F01">
        <w:rPr>
          <w:rFonts w:ascii="Tahoma" w:eastAsia="Times New Roman" w:hAnsi="Tahoma" w:cs="Tahoma"/>
          <w:bCs/>
          <w:i/>
          <w:sz w:val="24"/>
          <w:szCs w:val="24"/>
          <w:lang w:val="en-US" w:eastAsia="ru-RU"/>
        </w:rPr>
        <w:t>s</w:t>
      </w:r>
      <w:r w:rsidRPr="00881F01">
        <w:rPr>
          <w:rFonts w:ascii="Tahoma" w:eastAsia="Times New Roman" w:hAnsi="Tahoma" w:cs="Tahoma"/>
          <w:bCs/>
          <w:sz w:val="24"/>
          <w:szCs w:val="24"/>
          <w:lang w:val="en-US" w:eastAsia="ru-RU"/>
        </w:rPr>
        <w:t>)</w:t>
      </w:r>
    </w:p>
    <w:p w:rsidR="00305588" w:rsidRPr="00595970" w:rsidRDefault="00305588" w:rsidP="00305588">
      <w:pPr>
        <w:spacing w:after="0" w:line="240" w:lineRule="auto"/>
        <w:jc w:val="both"/>
        <w:rPr>
          <w:rFonts w:ascii="Tahoma" w:eastAsia="Times New Roman" w:hAnsi="Tahoma" w:cs="Tahoma"/>
          <w:sz w:val="24"/>
          <w:szCs w:val="24"/>
          <w:lang w:val="en-US" w:eastAsia="ru-RU"/>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7"/>
        <w:gridCol w:w="1616"/>
        <w:gridCol w:w="1616"/>
        <w:gridCol w:w="1503"/>
      </w:tblGrid>
      <w:tr w:rsidR="009F59D4" w:rsidRPr="00595970" w:rsidTr="00581A64">
        <w:trPr>
          <w:trHeight w:val="300"/>
        </w:trPr>
        <w:tc>
          <w:tcPr>
            <w:tcW w:w="2433" w:type="pct"/>
            <w:tcMar>
              <w:top w:w="0" w:type="dxa"/>
              <w:left w:w="150" w:type="dxa"/>
              <w:bottom w:w="0" w:type="dxa"/>
              <w:right w:w="150" w:type="dxa"/>
            </w:tcMar>
            <w:hideMark/>
          </w:tcPr>
          <w:p w:rsidR="00305588" w:rsidRPr="00305588" w:rsidRDefault="00305588" w:rsidP="00305588">
            <w:pPr>
              <w:spacing w:after="0" w:line="240" w:lineRule="auto"/>
              <w:jc w:val="center"/>
              <w:rPr>
                <w:rFonts w:ascii="Tahoma" w:eastAsia="Times New Roman" w:hAnsi="Tahoma" w:cs="Tahoma"/>
                <w:color w:val="51657E"/>
                <w:sz w:val="24"/>
                <w:szCs w:val="24"/>
                <w:lang w:val="en-US" w:eastAsia="ru-RU"/>
              </w:rPr>
            </w:pPr>
          </w:p>
        </w:tc>
        <w:tc>
          <w:tcPr>
            <w:tcW w:w="876" w:type="pct"/>
            <w:tcMar>
              <w:top w:w="0" w:type="dxa"/>
              <w:left w:w="150" w:type="dxa"/>
              <w:bottom w:w="0" w:type="dxa"/>
              <w:right w:w="150" w:type="dxa"/>
            </w:tcMar>
            <w:hideMark/>
          </w:tcPr>
          <w:p w:rsidR="00581A64" w:rsidRPr="00305588" w:rsidRDefault="00581A64" w:rsidP="00581A64">
            <w:pPr>
              <w:spacing w:after="0" w:line="240" w:lineRule="auto"/>
              <w:rPr>
                <w:rFonts w:ascii="Tahoma" w:eastAsia="Times New Roman" w:hAnsi="Tahoma" w:cs="Tahoma"/>
                <w:b/>
                <w:color w:val="000000"/>
                <w:sz w:val="24"/>
                <w:szCs w:val="24"/>
                <w:lang w:val="en-US" w:eastAsia="ru-RU"/>
              </w:rPr>
            </w:pPr>
            <w:r>
              <w:rPr>
                <w:rFonts w:ascii="Tahoma" w:eastAsia="Times New Roman" w:hAnsi="Tahoma" w:cs="Tahoma"/>
                <w:b/>
                <w:color w:val="000000"/>
                <w:sz w:val="24"/>
                <w:szCs w:val="24"/>
                <w:lang w:val="en-US" w:eastAsia="ru-RU"/>
              </w:rPr>
              <w:t>9</w:t>
            </w:r>
            <w:r w:rsidR="00103635">
              <w:rPr>
                <w:rFonts w:ascii="Tahoma" w:eastAsia="Times New Roman" w:hAnsi="Tahoma" w:cs="Tahoma"/>
                <w:b/>
                <w:color w:val="000000"/>
                <w:sz w:val="24"/>
                <w:szCs w:val="24"/>
                <w:lang w:val="en-US" w:eastAsia="ru-RU"/>
              </w:rPr>
              <w:t xml:space="preserve"> </w:t>
            </w:r>
            <w:r w:rsidR="00305588" w:rsidRPr="00305588">
              <w:rPr>
                <w:rFonts w:ascii="Tahoma" w:eastAsia="Times New Roman" w:hAnsi="Tahoma" w:cs="Tahoma"/>
                <w:b/>
                <w:color w:val="000000"/>
                <w:sz w:val="24"/>
                <w:szCs w:val="24"/>
                <w:lang w:val="en-US" w:eastAsia="ru-RU"/>
              </w:rPr>
              <w:t>m</w:t>
            </w:r>
            <w:r>
              <w:rPr>
                <w:rFonts w:ascii="Tahoma" w:eastAsia="Times New Roman" w:hAnsi="Tahoma" w:cs="Tahoma"/>
                <w:b/>
                <w:color w:val="000000"/>
                <w:sz w:val="24"/>
                <w:szCs w:val="24"/>
                <w:lang w:val="en-US" w:eastAsia="ru-RU"/>
              </w:rPr>
              <w:t>onths</w:t>
            </w:r>
            <w:r w:rsidR="00305588" w:rsidRPr="00305588">
              <w:rPr>
                <w:rFonts w:ascii="Tahoma" w:eastAsia="Times New Roman" w:hAnsi="Tahoma" w:cs="Tahoma"/>
                <w:b/>
                <w:color w:val="000000"/>
                <w:sz w:val="24"/>
                <w:szCs w:val="24"/>
                <w:lang w:val="en-US" w:eastAsia="ru-RU"/>
              </w:rPr>
              <w:t xml:space="preserve"> </w:t>
            </w:r>
            <w:r>
              <w:rPr>
                <w:rFonts w:ascii="Tahoma" w:eastAsia="Times New Roman" w:hAnsi="Tahoma" w:cs="Tahoma"/>
                <w:b/>
                <w:color w:val="000000"/>
                <w:sz w:val="24"/>
                <w:szCs w:val="24"/>
                <w:lang w:val="en-US" w:eastAsia="ru-RU"/>
              </w:rPr>
              <w:t>ended September 30, 2013</w:t>
            </w:r>
          </w:p>
        </w:tc>
        <w:tc>
          <w:tcPr>
            <w:tcW w:w="876" w:type="pct"/>
            <w:tcMar>
              <w:top w:w="0" w:type="dxa"/>
              <w:left w:w="150" w:type="dxa"/>
              <w:bottom w:w="0" w:type="dxa"/>
              <w:right w:w="150" w:type="dxa"/>
            </w:tcMar>
            <w:hideMark/>
          </w:tcPr>
          <w:p w:rsidR="00305588" w:rsidRPr="00305588" w:rsidRDefault="00581A64" w:rsidP="00581A64">
            <w:pPr>
              <w:spacing w:after="0" w:line="240" w:lineRule="auto"/>
              <w:rPr>
                <w:rFonts w:ascii="Tahoma" w:eastAsia="Times New Roman" w:hAnsi="Tahoma" w:cs="Tahoma"/>
                <w:b/>
                <w:color w:val="000000"/>
                <w:sz w:val="24"/>
                <w:szCs w:val="24"/>
                <w:lang w:val="en-US" w:eastAsia="ru-RU"/>
              </w:rPr>
            </w:pPr>
            <w:r w:rsidRPr="00581A64">
              <w:rPr>
                <w:rFonts w:ascii="Tahoma" w:eastAsia="Times New Roman" w:hAnsi="Tahoma" w:cs="Tahoma"/>
                <w:b/>
                <w:color w:val="000000"/>
                <w:sz w:val="24"/>
                <w:szCs w:val="24"/>
                <w:lang w:val="en-US" w:eastAsia="ru-RU"/>
              </w:rPr>
              <w:t>9</w:t>
            </w:r>
            <w:r w:rsidR="00103635">
              <w:rPr>
                <w:rFonts w:ascii="Tahoma" w:eastAsia="Times New Roman" w:hAnsi="Tahoma" w:cs="Tahoma"/>
                <w:b/>
                <w:color w:val="000000"/>
                <w:sz w:val="24"/>
                <w:szCs w:val="24"/>
                <w:lang w:val="en-US" w:eastAsia="ru-RU"/>
              </w:rPr>
              <w:t xml:space="preserve"> </w:t>
            </w:r>
            <w:r w:rsidRPr="00581A64">
              <w:rPr>
                <w:rFonts w:ascii="Tahoma" w:eastAsia="Times New Roman" w:hAnsi="Tahoma" w:cs="Tahoma"/>
                <w:b/>
                <w:color w:val="000000"/>
                <w:sz w:val="24"/>
                <w:szCs w:val="24"/>
                <w:lang w:val="en-US" w:eastAsia="ru-RU"/>
              </w:rPr>
              <w:t xml:space="preserve">months ended September 30, </w:t>
            </w:r>
            <w:r w:rsidR="00305588" w:rsidRPr="00305588">
              <w:rPr>
                <w:rFonts w:ascii="Tahoma" w:eastAsia="Times New Roman" w:hAnsi="Tahoma" w:cs="Tahoma"/>
                <w:b/>
                <w:color w:val="000000"/>
                <w:sz w:val="24"/>
                <w:szCs w:val="24"/>
                <w:lang w:val="en-US" w:eastAsia="ru-RU"/>
              </w:rPr>
              <w:t>201</w:t>
            </w:r>
            <w:r w:rsidR="00B36D93">
              <w:rPr>
                <w:rFonts w:ascii="Tahoma" w:eastAsia="Times New Roman" w:hAnsi="Tahoma" w:cs="Tahoma"/>
                <w:b/>
                <w:color w:val="000000"/>
                <w:sz w:val="24"/>
                <w:szCs w:val="24"/>
                <w:lang w:val="en-US" w:eastAsia="ru-RU"/>
              </w:rPr>
              <w:t>2</w:t>
            </w:r>
          </w:p>
        </w:tc>
        <w:tc>
          <w:tcPr>
            <w:tcW w:w="816" w:type="pct"/>
            <w:tcMar>
              <w:top w:w="0" w:type="dxa"/>
              <w:left w:w="150" w:type="dxa"/>
              <w:bottom w:w="0" w:type="dxa"/>
              <w:right w:w="150" w:type="dxa"/>
            </w:tcMar>
            <w:hideMark/>
          </w:tcPr>
          <w:p w:rsidR="00305588" w:rsidRPr="00305588" w:rsidRDefault="00305588" w:rsidP="00305588">
            <w:pPr>
              <w:spacing w:after="0" w:line="240" w:lineRule="auto"/>
              <w:rPr>
                <w:rFonts w:ascii="Tahoma" w:eastAsia="Times New Roman" w:hAnsi="Tahoma" w:cs="Tahoma"/>
                <w:color w:val="000000"/>
                <w:sz w:val="24"/>
                <w:szCs w:val="24"/>
                <w:lang w:val="en-US" w:eastAsia="ru-RU"/>
              </w:rPr>
            </w:pPr>
            <w:r w:rsidRPr="00305588">
              <w:rPr>
                <w:rFonts w:ascii="Tahoma" w:eastAsia="Times New Roman" w:hAnsi="Tahoma" w:cs="Tahoma"/>
                <w:color w:val="000000"/>
                <w:sz w:val="24"/>
                <w:szCs w:val="24"/>
                <w:lang w:val="en-US" w:eastAsia="ru-RU"/>
              </w:rPr>
              <w:t xml:space="preserve">% Change </w:t>
            </w:r>
          </w:p>
          <w:p w:rsidR="00305588" w:rsidRPr="0051363B" w:rsidRDefault="00305588" w:rsidP="00305588">
            <w:pPr>
              <w:spacing w:after="0" w:line="240" w:lineRule="auto"/>
              <w:rPr>
                <w:rFonts w:ascii="Tahoma" w:eastAsia="Times New Roman" w:hAnsi="Tahoma" w:cs="Tahoma"/>
                <w:color w:val="000000"/>
                <w:sz w:val="24"/>
                <w:szCs w:val="24"/>
                <w:lang w:eastAsia="ru-RU"/>
              </w:rPr>
            </w:pPr>
            <w:r w:rsidRPr="00305588">
              <w:rPr>
                <w:rFonts w:ascii="Tahoma" w:eastAsia="Times New Roman" w:hAnsi="Tahoma" w:cs="Tahoma"/>
                <w:color w:val="000000"/>
                <w:sz w:val="24"/>
                <w:szCs w:val="24"/>
                <w:lang w:val="en-US" w:eastAsia="ru-RU"/>
              </w:rPr>
              <w:t>y-o-y</w:t>
            </w:r>
          </w:p>
        </w:tc>
      </w:tr>
      <w:tr w:rsidR="00581A64" w:rsidRPr="00595970" w:rsidTr="00581A64">
        <w:trPr>
          <w:trHeight w:val="262"/>
        </w:trPr>
        <w:tc>
          <w:tcPr>
            <w:tcW w:w="2433" w:type="pct"/>
            <w:tcMar>
              <w:top w:w="0" w:type="dxa"/>
              <w:left w:w="150" w:type="dxa"/>
              <w:bottom w:w="0" w:type="dxa"/>
              <w:right w:w="150" w:type="dxa"/>
            </w:tcMar>
          </w:tcPr>
          <w:p w:rsidR="00581A64" w:rsidRPr="00B36D93" w:rsidRDefault="00581A64" w:rsidP="00305588">
            <w:pPr>
              <w:spacing w:line="240" w:lineRule="auto"/>
              <w:rPr>
                <w:rFonts w:ascii="Tahoma" w:hAnsi="Tahoma"/>
                <w:color w:val="000000"/>
                <w:sz w:val="24"/>
                <w:lang w:val="en-US"/>
              </w:rPr>
            </w:pPr>
            <w:r w:rsidRPr="00B36D93">
              <w:rPr>
                <w:rFonts w:ascii="Tahoma" w:eastAsia="Times New Roman" w:hAnsi="Tahoma" w:cs="Tahoma"/>
                <w:bCs/>
                <w:color w:val="000000"/>
                <w:sz w:val="24"/>
                <w:szCs w:val="24"/>
                <w:lang w:val="en-US" w:eastAsia="ru-RU"/>
              </w:rPr>
              <w:t>Revenues with government grants</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rPr>
            </w:pPr>
            <w:r w:rsidRPr="009A22A0">
              <w:rPr>
                <w:rFonts w:ascii="Tahoma" w:hAnsi="Tahoma" w:cs="Tahoma"/>
                <w:color w:val="000000"/>
              </w:rPr>
              <w:t>103</w:t>
            </w:r>
            <w:r w:rsidR="00BF221D">
              <w:rPr>
                <w:rFonts w:ascii="Tahoma" w:hAnsi="Tahoma" w:cs="Tahoma"/>
                <w:color w:val="000000"/>
                <w:lang w:val="en-US"/>
              </w:rPr>
              <w:t>,</w:t>
            </w:r>
            <w:r w:rsidRPr="009A22A0">
              <w:rPr>
                <w:rFonts w:ascii="Tahoma" w:hAnsi="Tahoma" w:cs="Tahoma"/>
                <w:color w:val="000000"/>
              </w:rPr>
              <w:t>921</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rPr>
            </w:pPr>
            <w:r w:rsidRPr="004D0D6F">
              <w:rPr>
                <w:rFonts w:ascii="Tahoma" w:hAnsi="Tahoma" w:cs="Tahoma"/>
                <w:color w:val="000000"/>
              </w:rPr>
              <w:t>97</w:t>
            </w:r>
            <w:r w:rsidR="00BF221D">
              <w:rPr>
                <w:rFonts w:ascii="Tahoma" w:hAnsi="Tahoma" w:cs="Tahoma"/>
                <w:color w:val="000000"/>
                <w:lang w:val="en-US"/>
              </w:rPr>
              <w:t>,</w:t>
            </w:r>
            <w:r w:rsidRPr="004D0D6F">
              <w:rPr>
                <w:rFonts w:ascii="Tahoma" w:hAnsi="Tahoma" w:cs="Tahoma"/>
                <w:color w:val="000000"/>
              </w:rPr>
              <w:t>470</w:t>
            </w:r>
          </w:p>
        </w:tc>
        <w:tc>
          <w:tcPr>
            <w:tcW w:w="816" w:type="pct"/>
            <w:tcMar>
              <w:top w:w="0" w:type="dxa"/>
              <w:left w:w="150" w:type="dxa"/>
              <w:bottom w:w="0" w:type="dxa"/>
              <w:right w:w="150" w:type="dxa"/>
            </w:tcMar>
            <w:vAlign w:val="bottom"/>
          </w:tcPr>
          <w:p w:rsidR="00581A64" w:rsidRPr="004D0D6F" w:rsidRDefault="00581A64" w:rsidP="006713B9">
            <w:pPr>
              <w:jc w:val="center"/>
              <w:rPr>
                <w:rFonts w:ascii="Tahoma" w:hAnsi="Tahoma" w:cs="Tahoma"/>
                <w:color w:val="000000"/>
              </w:rPr>
            </w:pPr>
            <w:r w:rsidRPr="004D0D6F">
              <w:rPr>
                <w:rFonts w:ascii="Tahoma" w:hAnsi="Tahoma" w:cs="Tahoma"/>
                <w:color w:val="000000"/>
              </w:rPr>
              <w:t>7%</w:t>
            </w:r>
          </w:p>
        </w:tc>
      </w:tr>
      <w:tr w:rsidR="00581A64" w:rsidRPr="00595970" w:rsidTr="00581A64">
        <w:trPr>
          <w:trHeight w:val="262"/>
        </w:trPr>
        <w:tc>
          <w:tcPr>
            <w:tcW w:w="2433" w:type="pct"/>
            <w:tcMar>
              <w:top w:w="0" w:type="dxa"/>
              <w:left w:w="150" w:type="dxa"/>
              <w:bottom w:w="0" w:type="dxa"/>
              <w:right w:w="150" w:type="dxa"/>
            </w:tcMar>
          </w:tcPr>
          <w:p w:rsidR="00581A64" w:rsidRPr="00B36D93" w:rsidRDefault="00581A64" w:rsidP="00305588">
            <w:pPr>
              <w:spacing w:line="240" w:lineRule="auto"/>
              <w:rPr>
                <w:rFonts w:ascii="Tahoma" w:eastAsia="Times New Roman" w:hAnsi="Tahoma" w:cs="Tahoma"/>
                <w:bCs/>
                <w:color w:val="000000"/>
                <w:sz w:val="24"/>
                <w:szCs w:val="24"/>
                <w:lang w:val="en-US" w:eastAsia="ru-RU"/>
              </w:rPr>
            </w:pPr>
            <w:r w:rsidRPr="00B36D93">
              <w:rPr>
                <w:rFonts w:ascii="Tahoma" w:eastAsia="Times New Roman" w:hAnsi="Tahoma" w:cs="Tahoma"/>
                <w:bCs/>
                <w:color w:val="000000"/>
                <w:sz w:val="24"/>
                <w:szCs w:val="24"/>
                <w:lang w:val="en-US" w:eastAsia="ru-RU"/>
              </w:rPr>
              <w:t>Operating expenses</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rPr>
            </w:pPr>
            <w:r w:rsidRPr="004D0D6F">
              <w:rPr>
                <w:rFonts w:ascii="Tahoma" w:hAnsi="Tahoma" w:cs="Tahoma"/>
                <w:color w:val="000000"/>
              </w:rPr>
              <w:t>(100</w:t>
            </w:r>
            <w:r w:rsidR="00BF221D">
              <w:rPr>
                <w:rFonts w:ascii="Tahoma" w:hAnsi="Tahoma" w:cs="Tahoma"/>
                <w:color w:val="000000"/>
                <w:lang w:val="en-US"/>
              </w:rPr>
              <w:t>,</w:t>
            </w:r>
            <w:r w:rsidRPr="004D0D6F">
              <w:rPr>
                <w:rFonts w:ascii="Tahoma" w:hAnsi="Tahoma" w:cs="Tahoma"/>
                <w:color w:val="000000"/>
              </w:rPr>
              <w:t>553)</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rPr>
            </w:pPr>
            <w:r w:rsidRPr="004D0D6F">
              <w:rPr>
                <w:rFonts w:ascii="Tahoma" w:hAnsi="Tahoma" w:cs="Tahoma"/>
                <w:color w:val="000000"/>
              </w:rPr>
              <w:t>(101</w:t>
            </w:r>
            <w:r w:rsidR="00BF221D">
              <w:rPr>
                <w:rFonts w:ascii="Tahoma" w:hAnsi="Tahoma" w:cs="Tahoma"/>
                <w:color w:val="000000"/>
                <w:lang w:val="en-US"/>
              </w:rPr>
              <w:t>,</w:t>
            </w:r>
            <w:r w:rsidRPr="004D0D6F">
              <w:rPr>
                <w:rFonts w:ascii="Tahoma" w:hAnsi="Tahoma" w:cs="Tahoma"/>
                <w:color w:val="000000"/>
              </w:rPr>
              <w:t>226)</w:t>
            </w:r>
          </w:p>
        </w:tc>
        <w:tc>
          <w:tcPr>
            <w:tcW w:w="816" w:type="pct"/>
            <w:tcMar>
              <w:top w:w="0" w:type="dxa"/>
              <w:left w:w="150" w:type="dxa"/>
              <w:bottom w:w="0" w:type="dxa"/>
              <w:right w:w="150" w:type="dxa"/>
            </w:tcMar>
            <w:vAlign w:val="bottom"/>
          </w:tcPr>
          <w:p w:rsidR="00581A64" w:rsidRPr="004D0D6F" w:rsidRDefault="00581A64" w:rsidP="006713B9">
            <w:pPr>
              <w:jc w:val="center"/>
              <w:rPr>
                <w:rFonts w:ascii="Tahoma" w:hAnsi="Tahoma" w:cs="Tahoma"/>
                <w:color w:val="000000"/>
              </w:rPr>
            </w:pPr>
            <w:r w:rsidRPr="004D0D6F">
              <w:rPr>
                <w:rFonts w:ascii="Tahoma" w:hAnsi="Tahoma" w:cs="Tahoma"/>
                <w:color w:val="000000"/>
              </w:rPr>
              <w:t>-1%</w:t>
            </w:r>
          </w:p>
        </w:tc>
      </w:tr>
      <w:tr w:rsidR="00581A64" w:rsidRPr="00595970" w:rsidTr="00581A64">
        <w:trPr>
          <w:trHeight w:val="521"/>
        </w:trPr>
        <w:tc>
          <w:tcPr>
            <w:tcW w:w="2433" w:type="pct"/>
            <w:tcMar>
              <w:top w:w="0" w:type="dxa"/>
              <w:left w:w="150" w:type="dxa"/>
              <w:bottom w:w="0" w:type="dxa"/>
              <w:right w:w="150" w:type="dxa"/>
            </w:tcMar>
          </w:tcPr>
          <w:p w:rsidR="00581A64" w:rsidRPr="00305588" w:rsidRDefault="00581A64" w:rsidP="00581A64">
            <w:pPr>
              <w:spacing w:line="240" w:lineRule="auto"/>
              <w:rPr>
                <w:rFonts w:ascii="Tahoma" w:eastAsia="Times New Roman" w:hAnsi="Tahoma" w:cs="Tahoma"/>
                <w:color w:val="51657E"/>
                <w:sz w:val="24"/>
                <w:szCs w:val="24"/>
                <w:lang w:val="en-US" w:eastAsia="ru-RU"/>
              </w:rPr>
            </w:pPr>
            <w:r w:rsidRPr="00B36D93">
              <w:rPr>
                <w:rFonts w:ascii="Tahoma" w:eastAsia="Times New Roman" w:hAnsi="Tahoma" w:cs="Tahoma"/>
                <w:b/>
                <w:bCs/>
                <w:color w:val="000000"/>
                <w:sz w:val="24"/>
                <w:szCs w:val="24"/>
                <w:lang w:val="en-US" w:eastAsia="ru-RU"/>
              </w:rPr>
              <w:t>Operating profit</w:t>
            </w:r>
            <w:r>
              <w:rPr>
                <w:rFonts w:ascii="Tahoma" w:eastAsia="Times New Roman" w:hAnsi="Tahoma" w:cs="Tahoma"/>
                <w:b/>
                <w:bCs/>
                <w:color w:val="000000"/>
                <w:sz w:val="24"/>
                <w:szCs w:val="24"/>
                <w:lang w:val="en-US" w:eastAsia="ru-RU"/>
              </w:rPr>
              <w:t>(</w:t>
            </w:r>
            <w:proofErr w:type="spellStart"/>
            <w:r>
              <w:rPr>
                <w:rFonts w:ascii="Tahoma" w:eastAsia="Times New Roman" w:hAnsi="Tahoma" w:cs="Tahoma"/>
                <w:b/>
                <w:bCs/>
                <w:color w:val="000000"/>
                <w:sz w:val="24"/>
                <w:szCs w:val="24"/>
                <w:lang w:val="en-US" w:eastAsia="ru-RU"/>
              </w:rPr>
              <w:t>adj</w:t>
            </w:r>
            <w:proofErr w:type="spellEnd"/>
            <w:r>
              <w:rPr>
                <w:rFonts w:ascii="Tahoma" w:eastAsia="Times New Roman" w:hAnsi="Tahoma" w:cs="Tahoma"/>
                <w:b/>
                <w:bCs/>
                <w:color w:val="000000"/>
                <w:sz w:val="24"/>
                <w:szCs w:val="24"/>
                <w:lang w:val="en-US" w:eastAsia="ru-RU"/>
              </w:rPr>
              <w:t>)</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rPr>
            </w:pPr>
            <w:r>
              <w:rPr>
                <w:rFonts w:ascii="Tahoma" w:hAnsi="Tahoma" w:cs="Tahoma"/>
                <w:color w:val="000000"/>
              </w:rPr>
              <w:t>2</w:t>
            </w:r>
            <w:r w:rsidR="00BF221D">
              <w:rPr>
                <w:rFonts w:ascii="Tahoma" w:hAnsi="Tahoma" w:cs="Tahoma"/>
                <w:color w:val="000000"/>
                <w:lang w:val="en-US"/>
              </w:rPr>
              <w:t>,</w:t>
            </w:r>
            <w:r>
              <w:rPr>
                <w:rFonts w:ascii="Tahoma" w:hAnsi="Tahoma" w:cs="Tahoma"/>
                <w:color w:val="000000"/>
              </w:rPr>
              <w:t>132</w:t>
            </w:r>
            <w:r w:rsidRPr="004D0D6F">
              <w:rPr>
                <w:vertAlign w:val="superscript"/>
              </w:rPr>
              <w:footnoteReference w:id="2"/>
            </w:r>
          </w:p>
        </w:tc>
        <w:tc>
          <w:tcPr>
            <w:tcW w:w="876" w:type="pct"/>
            <w:tcMar>
              <w:top w:w="0" w:type="dxa"/>
              <w:left w:w="150" w:type="dxa"/>
              <w:bottom w:w="0" w:type="dxa"/>
              <w:right w:w="150" w:type="dxa"/>
            </w:tcMar>
            <w:vAlign w:val="bottom"/>
          </w:tcPr>
          <w:p w:rsidR="00581A64" w:rsidRPr="004D0D6F" w:rsidRDefault="00581A64" w:rsidP="006713B9">
            <w:pPr>
              <w:jc w:val="center"/>
              <w:rPr>
                <w:rFonts w:ascii="Tahoma" w:hAnsi="Tahoma" w:cs="Tahoma"/>
                <w:color w:val="000000"/>
              </w:rPr>
            </w:pPr>
            <w:r w:rsidRPr="008A08E3">
              <w:rPr>
                <w:rFonts w:ascii="Tahoma" w:hAnsi="Tahoma" w:cs="Tahoma"/>
                <w:color w:val="000000"/>
              </w:rPr>
              <w:t>(</w:t>
            </w:r>
            <w:r>
              <w:rPr>
                <w:rFonts w:ascii="Tahoma" w:hAnsi="Tahoma" w:cs="Tahoma"/>
                <w:color w:val="000000"/>
              </w:rPr>
              <w:t>548</w:t>
            </w:r>
            <w:r w:rsidRPr="008A08E3">
              <w:rPr>
                <w:rFonts w:ascii="Tahoma" w:hAnsi="Tahoma" w:cs="Tahoma"/>
                <w:color w:val="000000"/>
              </w:rPr>
              <w:t>)</w:t>
            </w:r>
            <w:r w:rsidRPr="004D0D6F">
              <w:rPr>
                <w:rFonts w:ascii="Tahoma" w:hAnsi="Tahoma" w:cs="Tahoma"/>
                <w:vertAlign w:val="superscript"/>
              </w:rPr>
              <w:footnoteReference w:id="3"/>
            </w:r>
          </w:p>
        </w:tc>
        <w:tc>
          <w:tcPr>
            <w:tcW w:w="816" w:type="pct"/>
            <w:tcMar>
              <w:top w:w="0" w:type="dxa"/>
              <w:left w:w="150" w:type="dxa"/>
              <w:bottom w:w="0" w:type="dxa"/>
              <w:right w:w="150" w:type="dxa"/>
            </w:tcMar>
            <w:vAlign w:val="bottom"/>
          </w:tcPr>
          <w:p w:rsidR="00581A64" w:rsidRPr="004D0D6F" w:rsidRDefault="00581A64" w:rsidP="006713B9">
            <w:pPr>
              <w:jc w:val="center"/>
              <w:rPr>
                <w:rFonts w:ascii="Arial" w:hAnsi="Arial" w:cs="Arial"/>
                <w:color w:val="000000"/>
                <w:lang w:val="en-US"/>
              </w:rPr>
            </w:pPr>
            <w:proofErr w:type="spellStart"/>
            <w:r w:rsidRPr="004D0D6F">
              <w:rPr>
                <w:rFonts w:ascii="Tahoma" w:hAnsi="Tahoma" w:cs="Tahoma"/>
                <w:color w:val="000000"/>
              </w:rPr>
              <w:t>n.a</w:t>
            </w:r>
            <w:proofErr w:type="spellEnd"/>
            <w:r w:rsidRPr="004D0D6F">
              <w:rPr>
                <w:rFonts w:ascii="Tahoma" w:hAnsi="Tahoma" w:cs="Tahoma"/>
                <w:color w:val="000000"/>
              </w:rPr>
              <w:t>.</w:t>
            </w:r>
          </w:p>
        </w:tc>
      </w:tr>
      <w:tr w:rsidR="00581A64" w:rsidRPr="00595970" w:rsidTr="00581A64">
        <w:trPr>
          <w:trHeight w:val="262"/>
        </w:trPr>
        <w:tc>
          <w:tcPr>
            <w:tcW w:w="2433" w:type="pct"/>
            <w:tcMar>
              <w:top w:w="0" w:type="dxa"/>
              <w:left w:w="150" w:type="dxa"/>
              <w:bottom w:w="0" w:type="dxa"/>
              <w:right w:w="150" w:type="dxa"/>
            </w:tcMar>
          </w:tcPr>
          <w:p w:rsidR="00581A64" w:rsidRPr="00305588" w:rsidRDefault="00581A64" w:rsidP="00B36D93">
            <w:pPr>
              <w:spacing w:line="240" w:lineRule="auto"/>
              <w:rPr>
                <w:rFonts w:ascii="Tahoma" w:eastAsia="Times New Roman" w:hAnsi="Tahoma" w:cs="Tahoma"/>
                <w:color w:val="51657E"/>
                <w:sz w:val="24"/>
                <w:szCs w:val="24"/>
                <w:lang w:eastAsia="ru-RU"/>
              </w:rPr>
            </w:pPr>
            <w:r w:rsidRPr="00305588">
              <w:rPr>
                <w:rFonts w:ascii="Tahoma" w:eastAsia="Times New Roman" w:hAnsi="Tahoma" w:cs="Tahoma"/>
                <w:b/>
                <w:bCs/>
                <w:color w:val="000000"/>
                <w:sz w:val="24"/>
                <w:szCs w:val="24"/>
                <w:lang w:eastAsia="ru-RU"/>
              </w:rPr>
              <w:t>EBITDA</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b/>
                <w:bCs/>
                <w:color w:val="000000"/>
              </w:rPr>
            </w:pPr>
            <w:r w:rsidRPr="004D0D6F">
              <w:rPr>
                <w:rFonts w:ascii="Tahoma" w:hAnsi="Tahoma" w:cs="Tahoma"/>
                <w:b/>
                <w:bCs/>
                <w:color w:val="000000"/>
              </w:rPr>
              <w:t>5</w:t>
            </w:r>
            <w:r w:rsidR="00BF221D">
              <w:rPr>
                <w:rFonts w:ascii="Tahoma" w:hAnsi="Tahoma" w:cs="Tahoma"/>
                <w:b/>
                <w:bCs/>
                <w:color w:val="000000"/>
                <w:lang w:val="en-US"/>
              </w:rPr>
              <w:t>,</w:t>
            </w:r>
            <w:r w:rsidRPr="004D0D6F">
              <w:rPr>
                <w:rFonts w:ascii="Tahoma" w:hAnsi="Tahoma" w:cs="Tahoma"/>
                <w:b/>
                <w:bCs/>
                <w:color w:val="000000"/>
              </w:rPr>
              <w:t>766</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b/>
                <w:bCs/>
                <w:color w:val="000000"/>
              </w:rPr>
            </w:pPr>
            <w:r w:rsidRPr="004D0D6F">
              <w:rPr>
                <w:rFonts w:ascii="Tahoma" w:hAnsi="Tahoma" w:cs="Tahoma"/>
                <w:b/>
                <w:bCs/>
                <w:color w:val="000000"/>
              </w:rPr>
              <w:t>2</w:t>
            </w:r>
            <w:r w:rsidR="00BF221D">
              <w:rPr>
                <w:rFonts w:ascii="Tahoma" w:hAnsi="Tahoma" w:cs="Tahoma"/>
                <w:b/>
                <w:bCs/>
                <w:color w:val="000000"/>
                <w:lang w:val="en-US"/>
              </w:rPr>
              <w:t>,</w:t>
            </w:r>
            <w:r w:rsidRPr="004D0D6F">
              <w:rPr>
                <w:rFonts w:ascii="Tahoma" w:hAnsi="Tahoma" w:cs="Tahoma"/>
                <w:b/>
                <w:bCs/>
                <w:color w:val="000000"/>
              </w:rPr>
              <w:t>549</w:t>
            </w:r>
          </w:p>
        </w:tc>
        <w:tc>
          <w:tcPr>
            <w:tcW w:w="816" w:type="pct"/>
            <w:tcMar>
              <w:top w:w="0" w:type="dxa"/>
              <w:left w:w="150" w:type="dxa"/>
              <w:bottom w:w="0" w:type="dxa"/>
              <w:right w:w="150" w:type="dxa"/>
            </w:tcMar>
            <w:vAlign w:val="bottom"/>
          </w:tcPr>
          <w:p w:rsidR="00581A64" w:rsidRPr="004D0D6F" w:rsidRDefault="00581A64" w:rsidP="006713B9">
            <w:pPr>
              <w:jc w:val="center"/>
              <w:rPr>
                <w:rFonts w:ascii="Tahoma" w:hAnsi="Tahoma" w:cs="Tahoma"/>
                <w:b/>
                <w:bCs/>
                <w:color w:val="000000"/>
              </w:rPr>
            </w:pPr>
            <w:r w:rsidRPr="004D0D6F">
              <w:rPr>
                <w:rFonts w:ascii="Tahoma" w:hAnsi="Tahoma" w:cs="Tahoma"/>
                <w:b/>
                <w:bCs/>
                <w:color w:val="000000"/>
              </w:rPr>
              <w:t>126%</w:t>
            </w:r>
          </w:p>
        </w:tc>
      </w:tr>
      <w:tr w:rsidR="00581A64" w:rsidRPr="00581A64" w:rsidTr="00581A64">
        <w:trPr>
          <w:trHeight w:val="255"/>
        </w:trPr>
        <w:tc>
          <w:tcPr>
            <w:tcW w:w="2433" w:type="pct"/>
            <w:tcMar>
              <w:top w:w="0" w:type="dxa"/>
              <w:left w:w="150" w:type="dxa"/>
              <w:bottom w:w="0" w:type="dxa"/>
              <w:right w:w="150" w:type="dxa"/>
            </w:tcMar>
          </w:tcPr>
          <w:p w:rsidR="00581A64" w:rsidRPr="00311B8A" w:rsidRDefault="00581A64" w:rsidP="00581A64">
            <w:pPr>
              <w:spacing w:line="240" w:lineRule="auto"/>
              <w:rPr>
                <w:rFonts w:ascii="Tahoma" w:eastAsia="Times New Roman" w:hAnsi="Tahoma" w:cs="Tahoma"/>
                <w:color w:val="51657E"/>
                <w:sz w:val="24"/>
                <w:szCs w:val="24"/>
                <w:lang w:val="en-US" w:eastAsia="ru-RU"/>
              </w:rPr>
            </w:pPr>
            <w:r w:rsidRPr="00B36D93">
              <w:rPr>
                <w:rFonts w:ascii="Tahoma" w:eastAsia="Times New Roman" w:hAnsi="Tahoma" w:cs="Tahoma"/>
                <w:bCs/>
                <w:color w:val="000000"/>
                <w:sz w:val="24"/>
                <w:szCs w:val="24"/>
                <w:lang w:val="en-US" w:eastAsia="ru-RU"/>
              </w:rPr>
              <w:t>Profit before income tax</w:t>
            </w:r>
            <w:r>
              <w:rPr>
                <w:rFonts w:ascii="Tahoma" w:eastAsia="Times New Roman" w:hAnsi="Tahoma" w:cs="Tahoma"/>
                <w:bCs/>
                <w:color w:val="000000"/>
                <w:sz w:val="24"/>
                <w:szCs w:val="24"/>
                <w:lang w:val="en-US" w:eastAsia="ru-RU"/>
              </w:rPr>
              <w:t xml:space="preserve"> (adj.)</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vertAlign w:val="superscript"/>
              </w:rPr>
            </w:pPr>
            <w:r w:rsidRPr="004D0D6F">
              <w:rPr>
                <w:rFonts w:ascii="Tahoma" w:hAnsi="Tahoma" w:cs="Tahoma"/>
                <w:color w:val="000000"/>
              </w:rPr>
              <w:t>(1</w:t>
            </w:r>
            <w:r w:rsidR="00BF221D">
              <w:rPr>
                <w:rFonts w:ascii="Tahoma" w:hAnsi="Tahoma" w:cs="Tahoma"/>
                <w:color w:val="000000"/>
                <w:lang w:val="en-US"/>
              </w:rPr>
              <w:t>,</w:t>
            </w:r>
            <w:r>
              <w:rPr>
                <w:rFonts w:ascii="Tahoma" w:hAnsi="Tahoma" w:cs="Tahoma"/>
                <w:color w:val="000000"/>
              </w:rPr>
              <w:t>482</w:t>
            </w:r>
            <w:r w:rsidRPr="004D0D6F">
              <w:rPr>
                <w:rFonts w:ascii="Tahoma" w:hAnsi="Tahoma" w:cs="Tahoma"/>
                <w:color w:val="000000"/>
              </w:rPr>
              <w:t>)</w:t>
            </w:r>
            <w:r w:rsidRPr="004D0D6F">
              <w:rPr>
                <w:rFonts w:ascii="Tahoma" w:hAnsi="Tahoma" w:cs="Tahoma"/>
                <w:color w:val="000000"/>
                <w:vertAlign w:val="superscript"/>
              </w:rPr>
              <w:t>1</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color w:val="000000"/>
                <w:vertAlign w:val="superscript"/>
              </w:rPr>
            </w:pPr>
            <w:r w:rsidRPr="004D0D6F">
              <w:rPr>
                <w:rFonts w:ascii="Tahoma" w:hAnsi="Tahoma" w:cs="Tahoma"/>
                <w:color w:val="000000"/>
              </w:rPr>
              <w:t>(</w:t>
            </w:r>
            <w:r>
              <w:rPr>
                <w:rFonts w:ascii="Tahoma" w:hAnsi="Tahoma" w:cs="Tahoma"/>
                <w:color w:val="000000"/>
              </w:rPr>
              <w:t>3</w:t>
            </w:r>
            <w:r w:rsidR="00BF221D">
              <w:rPr>
                <w:rFonts w:ascii="Tahoma" w:hAnsi="Tahoma" w:cs="Tahoma"/>
                <w:color w:val="000000"/>
                <w:lang w:val="en-US"/>
              </w:rPr>
              <w:t>,</w:t>
            </w:r>
            <w:r>
              <w:rPr>
                <w:rFonts w:ascii="Tahoma" w:hAnsi="Tahoma" w:cs="Tahoma"/>
                <w:color w:val="000000"/>
              </w:rPr>
              <w:t>961</w:t>
            </w:r>
            <w:r w:rsidRPr="004D0D6F">
              <w:rPr>
                <w:rFonts w:ascii="Tahoma" w:hAnsi="Tahoma" w:cs="Tahoma"/>
                <w:color w:val="000000"/>
              </w:rPr>
              <w:t>)</w:t>
            </w:r>
            <w:r w:rsidRPr="004D0D6F">
              <w:rPr>
                <w:rFonts w:ascii="Tahoma" w:hAnsi="Tahoma" w:cs="Tahoma"/>
                <w:color w:val="000000"/>
                <w:vertAlign w:val="superscript"/>
              </w:rPr>
              <w:t>2</w:t>
            </w:r>
          </w:p>
        </w:tc>
        <w:tc>
          <w:tcPr>
            <w:tcW w:w="816" w:type="pct"/>
            <w:tcMar>
              <w:top w:w="0" w:type="dxa"/>
              <w:left w:w="150" w:type="dxa"/>
              <w:bottom w:w="0" w:type="dxa"/>
              <w:right w:w="150" w:type="dxa"/>
            </w:tcMar>
            <w:vAlign w:val="bottom"/>
          </w:tcPr>
          <w:p w:rsidR="00581A64" w:rsidRPr="004D0D6F" w:rsidRDefault="00581A64" w:rsidP="006713B9">
            <w:pPr>
              <w:jc w:val="center"/>
              <w:rPr>
                <w:rFonts w:ascii="Tahoma" w:hAnsi="Tahoma" w:cs="Tahoma"/>
                <w:color w:val="000000"/>
              </w:rPr>
            </w:pPr>
            <w:r w:rsidRPr="004D0D6F">
              <w:rPr>
                <w:rFonts w:ascii="Tahoma" w:hAnsi="Tahoma" w:cs="Tahoma"/>
                <w:color w:val="000000"/>
              </w:rPr>
              <w:t>-</w:t>
            </w:r>
            <w:r>
              <w:rPr>
                <w:rFonts w:ascii="Tahoma" w:hAnsi="Tahoma" w:cs="Tahoma"/>
                <w:color w:val="000000"/>
              </w:rPr>
              <w:t>63</w:t>
            </w:r>
            <w:r w:rsidRPr="004D0D6F">
              <w:rPr>
                <w:rFonts w:ascii="Tahoma" w:hAnsi="Tahoma" w:cs="Tahoma"/>
                <w:color w:val="000000"/>
              </w:rPr>
              <w:t>%</w:t>
            </w:r>
          </w:p>
        </w:tc>
      </w:tr>
      <w:tr w:rsidR="00581A64" w:rsidRPr="00581A64" w:rsidTr="00581A64">
        <w:trPr>
          <w:trHeight w:val="255"/>
        </w:trPr>
        <w:tc>
          <w:tcPr>
            <w:tcW w:w="2433" w:type="pct"/>
            <w:tcMar>
              <w:top w:w="0" w:type="dxa"/>
              <w:left w:w="150" w:type="dxa"/>
              <w:bottom w:w="0" w:type="dxa"/>
              <w:right w:w="150" w:type="dxa"/>
            </w:tcMar>
          </w:tcPr>
          <w:p w:rsidR="00581A64" w:rsidRPr="00305588" w:rsidRDefault="00581A64" w:rsidP="00B36D93">
            <w:pPr>
              <w:spacing w:line="240" w:lineRule="auto"/>
              <w:rPr>
                <w:rFonts w:ascii="Tahoma" w:eastAsia="Times New Roman" w:hAnsi="Tahoma" w:cs="Tahoma"/>
                <w:color w:val="51657E"/>
                <w:sz w:val="24"/>
                <w:szCs w:val="24"/>
                <w:lang w:val="en-US" w:eastAsia="ru-RU"/>
              </w:rPr>
            </w:pPr>
            <w:r>
              <w:rPr>
                <w:rFonts w:ascii="Tahoma" w:eastAsia="Times New Roman" w:hAnsi="Tahoma" w:cs="Tahoma"/>
                <w:b/>
                <w:bCs/>
                <w:color w:val="000000"/>
                <w:sz w:val="24"/>
                <w:szCs w:val="24"/>
                <w:lang w:val="en-US" w:eastAsia="ru-RU"/>
              </w:rPr>
              <w:t>(Loss)</w:t>
            </w:r>
            <w:r w:rsidRPr="00305588">
              <w:rPr>
                <w:rFonts w:ascii="Tahoma" w:eastAsia="Times New Roman" w:hAnsi="Tahoma" w:cs="Tahoma"/>
                <w:b/>
                <w:bCs/>
                <w:color w:val="000000"/>
                <w:sz w:val="24"/>
                <w:szCs w:val="24"/>
                <w:lang w:val="en-US" w:eastAsia="ru-RU"/>
              </w:rPr>
              <w:t xml:space="preserve"> for the period</w:t>
            </w:r>
            <w:r>
              <w:rPr>
                <w:rFonts w:ascii="Tahoma" w:eastAsia="Times New Roman" w:hAnsi="Tahoma" w:cs="Tahoma"/>
                <w:b/>
                <w:bCs/>
                <w:color w:val="000000"/>
                <w:sz w:val="24"/>
                <w:szCs w:val="24"/>
                <w:lang w:val="en-US" w:eastAsia="ru-RU"/>
              </w:rPr>
              <w:t xml:space="preserve"> (adj.)</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b/>
                <w:bCs/>
                <w:color w:val="000000"/>
                <w:vertAlign w:val="superscript"/>
              </w:rPr>
            </w:pPr>
            <w:r w:rsidRPr="004D0D6F">
              <w:rPr>
                <w:rFonts w:ascii="Tahoma" w:hAnsi="Tahoma" w:cs="Tahoma"/>
                <w:b/>
                <w:bCs/>
                <w:color w:val="000000"/>
              </w:rPr>
              <w:t>(1</w:t>
            </w:r>
            <w:r w:rsidR="00BF221D">
              <w:rPr>
                <w:rFonts w:ascii="Tahoma" w:hAnsi="Tahoma" w:cs="Tahoma"/>
                <w:b/>
                <w:bCs/>
                <w:color w:val="000000"/>
                <w:lang w:val="en-US"/>
              </w:rPr>
              <w:t>,</w:t>
            </w:r>
            <w:r>
              <w:rPr>
                <w:rFonts w:ascii="Tahoma" w:hAnsi="Tahoma" w:cs="Tahoma"/>
                <w:b/>
                <w:bCs/>
                <w:color w:val="000000"/>
              </w:rPr>
              <w:t>489</w:t>
            </w:r>
            <w:r w:rsidRPr="004D0D6F">
              <w:rPr>
                <w:rFonts w:ascii="Tahoma" w:hAnsi="Tahoma" w:cs="Tahoma"/>
                <w:b/>
                <w:bCs/>
                <w:color w:val="000000"/>
              </w:rPr>
              <w:t>)</w:t>
            </w:r>
            <w:r w:rsidRPr="004D0D6F">
              <w:rPr>
                <w:rFonts w:ascii="Tahoma" w:hAnsi="Tahoma" w:cs="Tahoma"/>
                <w:b/>
                <w:bCs/>
                <w:color w:val="000000"/>
                <w:vertAlign w:val="superscript"/>
              </w:rPr>
              <w:t>1</w:t>
            </w:r>
          </w:p>
        </w:tc>
        <w:tc>
          <w:tcPr>
            <w:tcW w:w="876" w:type="pct"/>
            <w:tcMar>
              <w:top w:w="0" w:type="dxa"/>
              <w:left w:w="150" w:type="dxa"/>
              <w:bottom w:w="0" w:type="dxa"/>
              <w:right w:w="150" w:type="dxa"/>
            </w:tcMar>
            <w:vAlign w:val="bottom"/>
          </w:tcPr>
          <w:p w:rsidR="00581A64" w:rsidRPr="004D0D6F" w:rsidRDefault="00581A64" w:rsidP="00BF221D">
            <w:pPr>
              <w:jc w:val="center"/>
              <w:rPr>
                <w:rFonts w:ascii="Tahoma" w:hAnsi="Tahoma" w:cs="Tahoma"/>
                <w:b/>
                <w:bCs/>
                <w:color w:val="000000"/>
                <w:vertAlign w:val="superscript"/>
              </w:rPr>
            </w:pPr>
            <w:r w:rsidRPr="004D0D6F">
              <w:rPr>
                <w:rFonts w:ascii="Tahoma" w:hAnsi="Tahoma" w:cs="Tahoma"/>
                <w:b/>
                <w:bCs/>
                <w:color w:val="000000"/>
              </w:rPr>
              <w:t>(</w:t>
            </w:r>
            <w:r>
              <w:rPr>
                <w:rFonts w:ascii="Tahoma" w:hAnsi="Tahoma" w:cs="Tahoma"/>
                <w:b/>
                <w:bCs/>
                <w:color w:val="000000"/>
              </w:rPr>
              <w:t>2</w:t>
            </w:r>
            <w:r w:rsidR="00BF221D">
              <w:rPr>
                <w:rFonts w:ascii="Tahoma" w:hAnsi="Tahoma" w:cs="Tahoma"/>
                <w:b/>
                <w:bCs/>
                <w:color w:val="000000"/>
                <w:lang w:val="en-US"/>
              </w:rPr>
              <w:t>,</w:t>
            </w:r>
            <w:r>
              <w:rPr>
                <w:rFonts w:ascii="Tahoma" w:hAnsi="Tahoma" w:cs="Tahoma"/>
                <w:b/>
                <w:bCs/>
                <w:color w:val="000000"/>
              </w:rPr>
              <w:t>409</w:t>
            </w:r>
            <w:r w:rsidRPr="004D0D6F">
              <w:rPr>
                <w:rFonts w:ascii="Tahoma" w:hAnsi="Tahoma" w:cs="Tahoma"/>
                <w:b/>
                <w:bCs/>
                <w:color w:val="000000"/>
              </w:rPr>
              <w:t>)</w:t>
            </w:r>
            <w:r w:rsidRPr="004D0D6F">
              <w:rPr>
                <w:rFonts w:ascii="Tahoma" w:hAnsi="Tahoma" w:cs="Tahoma"/>
                <w:b/>
                <w:bCs/>
                <w:color w:val="000000"/>
                <w:vertAlign w:val="superscript"/>
              </w:rPr>
              <w:t>2</w:t>
            </w:r>
          </w:p>
        </w:tc>
        <w:tc>
          <w:tcPr>
            <w:tcW w:w="816" w:type="pct"/>
            <w:tcMar>
              <w:top w:w="0" w:type="dxa"/>
              <w:left w:w="150" w:type="dxa"/>
              <w:bottom w:w="0" w:type="dxa"/>
              <w:right w:w="150" w:type="dxa"/>
            </w:tcMar>
            <w:vAlign w:val="bottom"/>
          </w:tcPr>
          <w:p w:rsidR="00581A64" w:rsidRPr="004D0D6F" w:rsidRDefault="00581A64" w:rsidP="006713B9">
            <w:pPr>
              <w:jc w:val="right"/>
              <w:rPr>
                <w:rFonts w:ascii="Tahoma" w:hAnsi="Tahoma" w:cs="Tahoma"/>
                <w:b/>
                <w:bCs/>
                <w:color w:val="000000"/>
              </w:rPr>
            </w:pPr>
            <w:r w:rsidRPr="004D0D6F">
              <w:rPr>
                <w:rFonts w:ascii="Tahoma" w:hAnsi="Tahoma" w:cs="Tahoma"/>
                <w:b/>
                <w:bCs/>
                <w:color w:val="000000"/>
              </w:rPr>
              <w:t>-</w:t>
            </w:r>
            <w:r>
              <w:rPr>
                <w:rFonts w:ascii="Tahoma" w:hAnsi="Tahoma" w:cs="Tahoma"/>
                <w:b/>
                <w:bCs/>
                <w:color w:val="000000"/>
              </w:rPr>
              <w:t>38</w:t>
            </w:r>
            <w:r w:rsidRPr="004D0D6F">
              <w:rPr>
                <w:rFonts w:ascii="Tahoma" w:hAnsi="Tahoma" w:cs="Tahoma"/>
                <w:b/>
                <w:bCs/>
                <w:color w:val="000000"/>
              </w:rPr>
              <w:t>%</w:t>
            </w:r>
          </w:p>
        </w:tc>
      </w:tr>
      <w:tr w:rsidR="00581A64" w:rsidRPr="00581A64" w:rsidTr="00581A64">
        <w:trPr>
          <w:trHeight w:val="255"/>
        </w:trPr>
        <w:tc>
          <w:tcPr>
            <w:tcW w:w="2433" w:type="pct"/>
            <w:tcMar>
              <w:top w:w="0" w:type="dxa"/>
              <w:left w:w="150" w:type="dxa"/>
              <w:bottom w:w="0" w:type="dxa"/>
              <w:right w:w="150" w:type="dxa"/>
            </w:tcMar>
          </w:tcPr>
          <w:p w:rsidR="00581A64" w:rsidRDefault="00581A64" w:rsidP="00B36D93">
            <w:pPr>
              <w:spacing w:line="240" w:lineRule="auto"/>
              <w:rPr>
                <w:rFonts w:ascii="Tahoma" w:eastAsia="Times New Roman" w:hAnsi="Tahoma" w:cs="Tahoma"/>
                <w:b/>
                <w:bCs/>
                <w:color w:val="000000"/>
                <w:sz w:val="24"/>
                <w:szCs w:val="24"/>
                <w:lang w:val="en-US" w:eastAsia="ru-RU"/>
              </w:rPr>
            </w:pPr>
            <w:r>
              <w:rPr>
                <w:rFonts w:ascii="Tahoma" w:eastAsia="Times New Roman" w:hAnsi="Tahoma" w:cs="Tahoma"/>
                <w:b/>
                <w:bCs/>
                <w:color w:val="000000"/>
                <w:sz w:val="24"/>
                <w:szCs w:val="24"/>
                <w:lang w:val="en-US" w:eastAsia="ru-RU"/>
              </w:rPr>
              <w:t>(Loss) for the period</w:t>
            </w:r>
          </w:p>
        </w:tc>
        <w:tc>
          <w:tcPr>
            <w:tcW w:w="876" w:type="pct"/>
            <w:tcMar>
              <w:top w:w="0" w:type="dxa"/>
              <w:left w:w="150" w:type="dxa"/>
              <w:bottom w:w="0" w:type="dxa"/>
              <w:right w:w="150" w:type="dxa"/>
            </w:tcMar>
            <w:vAlign w:val="center"/>
          </w:tcPr>
          <w:p w:rsidR="00581A64" w:rsidRPr="009126B2" w:rsidRDefault="00581A64" w:rsidP="00BF221D">
            <w:pPr>
              <w:jc w:val="center"/>
              <w:rPr>
                <w:rFonts w:ascii="Tahoma" w:hAnsi="Tahoma" w:cs="Tahoma"/>
                <w:b/>
                <w:bCs/>
                <w:color w:val="000000"/>
              </w:rPr>
            </w:pPr>
            <w:r w:rsidRPr="009126B2">
              <w:rPr>
                <w:rFonts w:ascii="Tahoma" w:hAnsi="Tahoma" w:cs="Tahoma"/>
                <w:b/>
                <w:bCs/>
                <w:color w:val="000000"/>
              </w:rPr>
              <w:t>(1</w:t>
            </w:r>
            <w:r w:rsidR="00BF221D">
              <w:rPr>
                <w:rFonts w:ascii="Tahoma" w:hAnsi="Tahoma" w:cs="Tahoma"/>
                <w:b/>
                <w:bCs/>
                <w:color w:val="000000"/>
                <w:lang w:val="en-US"/>
              </w:rPr>
              <w:t>,</w:t>
            </w:r>
            <w:r w:rsidRPr="009126B2">
              <w:rPr>
                <w:rFonts w:ascii="Tahoma" w:hAnsi="Tahoma" w:cs="Tahoma"/>
                <w:b/>
                <w:bCs/>
                <w:color w:val="000000"/>
              </w:rPr>
              <w:t>027)</w:t>
            </w:r>
          </w:p>
        </w:tc>
        <w:tc>
          <w:tcPr>
            <w:tcW w:w="876" w:type="pct"/>
            <w:tcMar>
              <w:top w:w="0" w:type="dxa"/>
              <w:left w:w="150" w:type="dxa"/>
              <w:bottom w:w="0" w:type="dxa"/>
              <w:right w:w="150" w:type="dxa"/>
            </w:tcMar>
            <w:vAlign w:val="center"/>
          </w:tcPr>
          <w:p w:rsidR="00581A64" w:rsidRPr="009126B2" w:rsidRDefault="00581A64" w:rsidP="00BF221D">
            <w:pPr>
              <w:jc w:val="center"/>
              <w:rPr>
                <w:rFonts w:ascii="Tahoma" w:hAnsi="Tahoma" w:cs="Tahoma"/>
                <w:b/>
                <w:bCs/>
                <w:color w:val="000000"/>
              </w:rPr>
            </w:pPr>
            <w:r w:rsidRPr="009126B2">
              <w:rPr>
                <w:rFonts w:ascii="Tahoma" w:hAnsi="Tahoma" w:cs="Tahoma"/>
                <w:b/>
                <w:bCs/>
                <w:color w:val="000000"/>
              </w:rPr>
              <w:t>(10</w:t>
            </w:r>
            <w:r w:rsidR="00BF221D">
              <w:rPr>
                <w:rFonts w:ascii="Tahoma" w:hAnsi="Tahoma" w:cs="Tahoma"/>
                <w:b/>
                <w:bCs/>
                <w:color w:val="000000"/>
                <w:lang w:val="en-US"/>
              </w:rPr>
              <w:t>,</w:t>
            </w:r>
            <w:r w:rsidRPr="009126B2">
              <w:rPr>
                <w:rFonts w:ascii="Tahoma" w:hAnsi="Tahoma" w:cs="Tahoma"/>
                <w:b/>
                <w:bCs/>
                <w:color w:val="000000"/>
              </w:rPr>
              <w:t>965)</w:t>
            </w:r>
          </w:p>
        </w:tc>
        <w:tc>
          <w:tcPr>
            <w:tcW w:w="816" w:type="pct"/>
            <w:tcMar>
              <w:top w:w="0" w:type="dxa"/>
              <w:left w:w="150" w:type="dxa"/>
              <w:bottom w:w="0" w:type="dxa"/>
              <w:right w:w="150" w:type="dxa"/>
            </w:tcMar>
            <w:vAlign w:val="center"/>
          </w:tcPr>
          <w:p w:rsidR="00581A64" w:rsidRPr="009126B2" w:rsidRDefault="00581A64" w:rsidP="006713B9">
            <w:pPr>
              <w:jc w:val="center"/>
              <w:rPr>
                <w:rFonts w:ascii="Tahoma" w:hAnsi="Tahoma" w:cs="Tahoma"/>
                <w:b/>
                <w:bCs/>
                <w:color w:val="000000"/>
              </w:rPr>
            </w:pPr>
            <w:r w:rsidRPr="009126B2">
              <w:rPr>
                <w:rFonts w:ascii="Tahoma" w:hAnsi="Tahoma" w:cs="Tahoma"/>
                <w:b/>
                <w:bCs/>
                <w:color w:val="000000"/>
              </w:rPr>
              <w:t>-91%</w:t>
            </w:r>
          </w:p>
        </w:tc>
      </w:tr>
      <w:tr w:rsidR="00581A64" w:rsidRPr="00581A64" w:rsidTr="00581A64">
        <w:trPr>
          <w:trHeight w:val="496"/>
        </w:trPr>
        <w:tc>
          <w:tcPr>
            <w:tcW w:w="2433" w:type="pct"/>
            <w:tcMar>
              <w:top w:w="0" w:type="dxa"/>
              <w:left w:w="150" w:type="dxa"/>
              <w:bottom w:w="0" w:type="dxa"/>
              <w:right w:w="150" w:type="dxa"/>
            </w:tcMar>
          </w:tcPr>
          <w:p w:rsidR="00581A64" w:rsidRPr="000D37EE" w:rsidRDefault="00581A64" w:rsidP="000D37EE">
            <w:pPr>
              <w:spacing w:line="240" w:lineRule="auto"/>
              <w:rPr>
                <w:rFonts w:ascii="Tahoma" w:eastAsia="Times New Roman" w:hAnsi="Tahoma" w:cs="Tahoma"/>
                <w:color w:val="51657E"/>
                <w:sz w:val="24"/>
                <w:szCs w:val="24"/>
                <w:lang w:val="en-US" w:eastAsia="ru-RU"/>
              </w:rPr>
            </w:pPr>
            <w:r>
              <w:rPr>
                <w:rFonts w:ascii="Tahoma" w:eastAsia="Times New Roman" w:hAnsi="Tahoma" w:cs="Tahoma"/>
                <w:b/>
                <w:bCs/>
                <w:color w:val="000000"/>
                <w:sz w:val="24"/>
                <w:szCs w:val="24"/>
                <w:lang w:val="en-US" w:eastAsia="ru-RU"/>
              </w:rPr>
              <w:t>Total comprehensive income</w:t>
            </w:r>
            <w:r w:rsidRPr="000D37EE">
              <w:rPr>
                <w:rFonts w:ascii="Tahoma" w:eastAsia="Times New Roman" w:hAnsi="Tahoma" w:cs="Tahoma"/>
                <w:b/>
                <w:bCs/>
                <w:color w:val="000000"/>
                <w:sz w:val="24"/>
                <w:szCs w:val="24"/>
                <w:lang w:val="en-US" w:eastAsia="ru-RU"/>
              </w:rPr>
              <w:t xml:space="preserve"> </w:t>
            </w:r>
            <w:r w:rsidRPr="00305588">
              <w:rPr>
                <w:rFonts w:ascii="Tahoma" w:eastAsia="Times New Roman" w:hAnsi="Tahoma" w:cs="Tahoma"/>
                <w:b/>
                <w:bCs/>
                <w:color w:val="000000"/>
                <w:sz w:val="24"/>
                <w:szCs w:val="24"/>
                <w:lang w:val="en-US" w:eastAsia="ru-RU"/>
              </w:rPr>
              <w:t xml:space="preserve">for the </w:t>
            </w:r>
            <w:r>
              <w:rPr>
                <w:rFonts w:ascii="Tahoma" w:eastAsia="Times New Roman" w:hAnsi="Tahoma" w:cs="Tahoma"/>
                <w:b/>
                <w:bCs/>
                <w:color w:val="000000"/>
                <w:sz w:val="24"/>
                <w:szCs w:val="24"/>
                <w:lang w:val="en-US" w:eastAsia="ru-RU"/>
              </w:rPr>
              <w:t>period</w:t>
            </w:r>
          </w:p>
        </w:tc>
        <w:tc>
          <w:tcPr>
            <w:tcW w:w="876" w:type="pct"/>
            <w:tcMar>
              <w:top w:w="0" w:type="dxa"/>
              <w:left w:w="150" w:type="dxa"/>
              <w:bottom w:w="0" w:type="dxa"/>
              <w:right w:w="150" w:type="dxa"/>
            </w:tcMar>
            <w:vAlign w:val="bottom"/>
          </w:tcPr>
          <w:p w:rsidR="00581A64" w:rsidRPr="004D0D6F" w:rsidRDefault="00581A64" w:rsidP="006713B9">
            <w:pPr>
              <w:jc w:val="center"/>
              <w:rPr>
                <w:rFonts w:ascii="Tahoma" w:hAnsi="Tahoma" w:cs="Tahoma"/>
                <w:b/>
                <w:bCs/>
                <w:color w:val="000000"/>
              </w:rPr>
            </w:pPr>
            <w:r w:rsidRPr="004D0D6F">
              <w:rPr>
                <w:rFonts w:ascii="Tahoma" w:hAnsi="Tahoma" w:cs="Tahoma"/>
                <w:b/>
                <w:bCs/>
                <w:color w:val="000000"/>
              </w:rPr>
              <w:t>(860)</w:t>
            </w:r>
          </w:p>
        </w:tc>
        <w:tc>
          <w:tcPr>
            <w:tcW w:w="876" w:type="pct"/>
            <w:tcMar>
              <w:top w:w="0" w:type="dxa"/>
              <w:left w:w="150" w:type="dxa"/>
              <w:bottom w:w="0" w:type="dxa"/>
              <w:right w:w="150" w:type="dxa"/>
            </w:tcMar>
            <w:vAlign w:val="bottom"/>
          </w:tcPr>
          <w:p w:rsidR="00581A64" w:rsidRPr="004D0D6F" w:rsidRDefault="00581A64" w:rsidP="006713B9">
            <w:pPr>
              <w:jc w:val="center"/>
              <w:rPr>
                <w:rFonts w:ascii="Tahoma" w:hAnsi="Tahoma" w:cs="Tahoma"/>
                <w:b/>
                <w:bCs/>
                <w:color w:val="000000"/>
              </w:rPr>
            </w:pPr>
            <w:r w:rsidRPr="004D0D6F">
              <w:rPr>
                <w:rFonts w:ascii="Tahoma" w:hAnsi="Tahoma" w:cs="Tahoma"/>
                <w:b/>
                <w:bCs/>
                <w:color w:val="000000"/>
              </w:rPr>
              <w:t>(9 870)</w:t>
            </w:r>
          </w:p>
        </w:tc>
        <w:tc>
          <w:tcPr>
            <w:tcW w:w="816" w:type="pct"/>
            <w:tcMar>
              <w:top w:w="0" w:type="dxa"/>
              <w:left w:w="150" w:type="dxa"/>
              <w:bottom w:w="0" w:type="dxa"/>
              <w:right w:w="150" w:type="dxa"/>
            </w:tcMar>
            <w:vAlign w:val="bottom"/>
          </w:tcPr>
          <w:p w:rsidR="00581A64" w:rsidRPr="004D0D6F" w:rsidRDefault="00581A64" w:rsidP="006713B9">
            <w:pPr>
              <w:jc w:val="center"/>
              <w:rPr>
                <w:rFonts w:ascii="Tahoma" w:hAnsi="Tahoma" w:cs="Tahoma"/>
                <w:b/>
                <w:bCs/>
                <w:color w:val="000000"/>
              </w:rPr>
            </w:pPr>
            <w:r w:rsidRPr="004D0D6F">
              <w:rPr>
                <w:rFonts w:ascii="Tahoma" w:hAnsi="Tahoma" w:cs="Tahoma"/>
                <w:b/>
                <w:bCs/>
                <w:color w:val="000000"/>
              </w:rPr>
              <w:t>-91%</w:t>
            </w:r>
          </w:p>
        </w:tc>
      </w:tr>
    </w:tbl>
    <w:p w:rsidR="00305588" w:rsidRPr="00581A64" w:rsidRDefault="00305588" w:rsidP="00595970">
      <w:pPr>
        <w:spacing w:after="0" w:line="240" w:lineRule="auto"/>
        <w:jc w:val="both"/>
        <w:rPr>
          <w:rFonts w:ascii="Tahoma" w:eastAsia="Times New Roman" w:hAnsi="Tahoma" w:cs="Tahoma"/>
          <w:b/>
          <w:sz w:val="24"/>
          <w:szCs w:val="24"/>
          <w:lang w:val="en-US" w:eastAsia="ru-RU"/>
        </w:rPr>
      </w:pPr>
    </w:p>
    <w:p w:rsidR="00653932" w:rsidRDefault="00962DD7" w:rsidP="00595970">
      <w:pPr>
        <w:spacing w:after="0" w:line="240" w:lineRule="auto"/>
        <w:jc w:val="both"/>
        <w:rPr>
          <w:rFonts w:ascii="Tahoma" w:eastAsia="Times New Roman" w:hAnsi="Tahoma" w:cs="Tahoma"/>
          <w:b/>
          <w:sz w:val="24"/>
          <w:szCs w:val="24"/>
          <w:lang w:val="en-US" w:eastAsia="ru-RU"/>
        </w:rPr>
      </w:pPr>
      <w:r w:rsidRPr="00973C31">
        <w:rPr>
          <w:rFonts w:ascii="Tahoma" w:eastAsia="Times New Roman" w:hAnsi="Tahoma" w:cs="Tahoma"/>
          <w:b/>
          <w:sz w:val="24"/>
          <w:szCs w:val="24"/>
          <w:lang w:val="en-US" w:eastAsia="ru-RU"/>
        </w:rPr>
        <w:t>Main events</w:t>
      </w:r>
    </w:p>
    <w:p w:rsidR="00F02F73" w:rsidRDefault="00F02F73" w:rsidP="00595970">
      <w:pPr>
        <w:spacing w:after="0" w:line="240" w:lineRule="auto"/>
        <w:jc w:val="both"/>
        <w:rPr>
          <w:rFonts w:ascii="Tahoma" w:eastAsia="Times New Roman" w:hAnsi="Tahoma" w:cs="Tahoma"/>
          <w:sz w:val="24"/>
          <w:szCs w:val="24"/>
          <w:lang w:val="en-US" w:eastAsia="ru-RU"/>
        </w:rPr>
      </w:pPr>
    </w:p>
    <w:p w:rsidR="00BF221D" w:rsidRDefault="00BF221D" w:rsidP="00554CF2">
      <w:pPr>
        <w:rPr>
          <w:rFonts w:ascii="Tahoma" w:eastAsia="Times New Roman" w:hAnsi="Tahoma" w:cs="Tahoma"/>
          <w:sz w:val="24"/>
          <w:szCs w:val="24"/>
          <w:lang w:val="en-US" w:eastAsia="ru-RU"/>
        </w:rPr>
      </w:pPr>
      <w:r w:rsidRPr="0052520E">
        <w:rPr>
          <w:rFonts w:ascii="Tahoma" w:hAnsi="Tahoma" w:cs="Tahoma"/>
          <w:lang w:val="en-US"/>
        </w:rPr>
        <w:lastRenderedPageBreak/>
        <w:t xml:space="preserve">JSC “Energy System of East” </w:t>
      </w:r>
      <w:r>
        <w:rPr>
          <w:rFonts w:ascii="Tahoma" w:hAnsi="Tahoma" w:cs="Tahoma"/>
          <w:lang w:val="en-US"/>
        </w:rPr>
        <w:t xml:space="preserve">Holding </w:t>
      </w:r>
      <w:r w:rsidRPr="0052520E">
        <w:rPr>
          <w:rFonts w:ascii="Tahoma" w:hAnsi="Tahoma" w:cs="Tahoma"/>
          <w:lang w:val="en-US"/>
        </w:rPr>
        <w:t xml:space="preserve">(JSC “RAO ES of East”) </w:t>
      </w:r>
      <w:r>
        <w:rPr>
          <w:rFonts w:ascii="Tahoma" w:hAnsi="Tahoma" w:cs="Tahoma"/>
          <w:lang w:val="en-US"/>
        </w:rPr>
        <w:t>de</w:t>
      </w:r>
      <w:r w:rsidRPr="0052520E">
        <w:rPr>
          <w:rFonts w:ascii="Tahoma" w:hAnsi="Tahoma" w:cs="Tahoma"/>
          <w:lang w:val="en-US"/>
        </w:rPr>
        <w:t xml:space="preserve">creased </w:t>
      </w:r>
      <w:r>
        <w:rPr>
          <w:rFonts w:ascii="Tahoma" w:hAnsi="Tahoma" w:cs="Tahoma"/>
          <w:lang w:val="en-US"/>
        </w:rPr>
        <w:t>electricity</w:t>
      </w:r>
      <w:r w:rsidRPr="0052520E">
        <w:rPr>
          <w:rFonts w:ascii="Tahoma" w:hAnsi="Tahoma" w:cs="Tahoma"/>
          <w:lang w:val="en-US"/>
        </w:rPr>
        <w:t xml:space="preserve"> production </w:t>
      </w:r>
      <w:r>
        <w:rPr>
          <w:rFonts w:ascii="Tahoma" w:hAnsi="Tahoma" w:cs="Tahoma"/>
          <w:lang w:val="en-US"/>
        </w:rPr>
        <w:t>after</w:t>
      </w:r>
      <w:r w:rsidRPr="0052520E">
        <w:rPr>
          <w:rFonts w:ascii="Tahoma" w:hAnsi="Tahoma" w:cs="Tahoma"/>
          <w:lang w:val="en-US"/>
        </w:rPr>
        <w:t xml:space="preserve"> </w:t>
      </w:r>
      <w:r>
        <w:rPr>
          <w:rFonts w:ascii="Tahoma" w:hAnsi="Tahoma" w:cs="Tahoma"/>
          <w:lang w:val="en-US"/>
        </w:rPr>
        <w:t xml:space="preserve">9 months of </w:t>
      </w:r>
      <w:r w:rsidRPr="0052520E">
        <w:rPr>
          <w:rFonts w:ascii="Tahoma" w:hAnsi="Tahoma" w:cs="Tahoma"/>
          <w:lang w:val="en-US"/>
        </w:rPr>
        <w:t>201</w:t>
      </w:r>
      <w:r>
        <w:rPr>
          <w:rFonts w:ascii="Tahoma" w:hAnsi="Tahoma" w:cs="Tahoma"/>
          <w:lang w:val="en-US"/>
        </w:rPr>
        <w:t>3</w:t>
      </w:r>
      <w:r w:rsidRPr="0052520E">
        <w:rPr>
          <w:rFonts w:ascii="Tahoma" w:hAnsi="Tahoma" w:cs="Tahoma"/>
          <w:lang w:val="en-US"/>
        </w:rPr>
        <w:t xml:space="preserve"> by </w:t>
      </w:r>
      <w:r>
        <w:rPr>
          <w:rFonts w:ascii="Tahoma" w:hAnsi="Tahoma" w:cs="Tahoma"/>
          <w:lang w:val="en-US"/>
        </w:rPr>
        <w:t>5.2</w:t>
      </w:r>
      <w:r w:rsidRPr="0052520E">
        <w:rPr>
          <w:rFonts w:ascii="Tahoma" w:hAnsi="Tahoma" w:cs="Tahoma"/>
          <w:lang w:val="en-US"/>
        </w:rPr>
        <w:t xml:space="preserve">% </w:t>
      </w:r>
      <w:proofErr w:type="spellStart"/>
      <w:r>
        <w:rPr>
          <w:rFonts w:ascii="Tahoma" w:hAnsi="Tahoma" w:cs="Tahoma"/>
          <w:lang w:val="en-US"/>
        </w:rPr>
        <w:t>YoY</w:t>
      </w:r>
      <w:proofErr w:type="spellEnd"/>
      <w:r w:rsidRPr="0052520E">
        <w:rPr>
          <w:rFonts w:ascii="Tahoma" w:hAnsi="Tahoma" w:cs="Tahoma"/>
          <w:lang w:val="en-US"/>
        </w:rPr>
        <w:t xml:space="preserve"> to </w:t>
      </w:r>
      <w:r w:rsidRPr="00EF3348">
        <w:rPr>
          <w:rFonts w:ascii="Tahoma" w:hAnsi="Tahoma" w:cs="Tahoma"/>
          <w:lang w:val="en-US"/>
        </w:rPr>
        <w:t>21</w:t>
      </w:r>
      <w:r>
        <w:rPr>
          <w:rFonts w:ascii="Tahoma" w:hAnsi="Tahoma" w:cs="Tahoma"/>
          <w:lang w:val="en-US"/>
        </w:rPr>
        <w:t>,</w:t>
      </w:r>
      <w:r w:rsidRPr="00EF3348">
        <w:rPr>
          <w:rFonts w:ascii="Tahoma" w:hAnsi="Tahoma" w:cs="Tahoma"/>
          <w:lang w:val="en-US"/>
        </w:rPr>
        <w:t>673</w:t>
      </w:r>
      <w:r>
        <w:rPr>
          <w:rFonts w:ascii="Tahoma" w:hAnsi="Tahoma" w:cs="Tahoma"/>
          <w:lang w:val="en-US"/>
        </w:rPr>
        <w:t>.</w:t>
      </w:r>
      <w:r w:rsidRPr="00EF3348">
        <w:rPr>
          <w:rFonts w:ascii="Tahoma" w:hAnsi="Tahoma" w:cs="Tahoma"/>
          <w:lang w:val="en-US"/>
        </w:rPr>
        <w:t xml:space="preserve">8 </w:t>
      </w:r>
      <w:r w:rsidRPr="0052520E">
        <w:rPr>
          <w:rFonts w:ascii="Tahoma" w:hAnsi="Tahoma" w:cs="Tahoma"/>
          <w:lang w:val="en-US"/>
        </w:rPr>
        <w:t>mil kWh</w:t>
      </w:r>
      <w:r>
        <w:rPr>
          <w:rFonts w:ascii="Tahoma" w:hAnsi="Tahoma" w:cs="Tahoma"/>
          <w:lang w:val="en-US"/>
        </w:rPr>
        <w:t xml:space="preserve">. 74% </w:t>
      </w:r>
      <w:r>
        <w:rPr>
          <w:rFonts w:ascii="Tahoma" w:hAnsi="Tahoma" w:cs="Tahoma"/>
          <w:color w:val="000000" w:themeColor="text1"/>
          <w:lang w:val="en-US"/>
        </w:rPr>
        <w:t>of the electricity generated (</w:t>
      </w:r>
      <w:r w:rsidRPr="00EF3348">
        <w:rPr>
          <w:rFonts w:ascii="Tahoma" w:hAnsi="Tahoma" w:cs="Tahoma"/>
          <w:color w:val="000000" w:themeColor="text1"/>
          <w:lang w:val="en-US"/>
        </w:rPr>
        <w:t>15</w:t>
      </w:r>
      <w:r>
        <w:rPr>
          <w:rFonts w:ascii="Tahoma" w:hAnsi="Tahoma" w:cs="Tahoma"/>
          <w:color w:val="000000" w:themeColor="text1"/>
          <w:lang w:val="en-US"/>
        </w:rPr>
        <w:t>,</w:t>
      </w:r>
      <w:r w:rsidRPr="00EF3348">
        <w:rPr>
          <w:rFonts w:ascii="Tahoma" w:hAnsi="Tahoma" w:cs="Tahoma"/>
          <w:color w:val="000000" w:themeColor="text1"/>
          <w:lang w:val="en-US"/>
        </w:rPr>
        <w:t>996</w:t>
      </w:r>
      <w:r>
        <w:rPr>
          <w:rFonts w:ascii="Tahoma" w:hAnsi="Tahoma" w:cs="Tahoma"/>
          <w:color w:val="000000" w:themeColor="text1"/>
          <w:lang w:val="en-US"/>
        </w:rPr>
        <w:t xml:space="preserve"> mil kWh) </w:t>
      </w:r>
      <w:r>
        <w:rPr>
          <w:rFonts w:ascii="Tahoma" w:hAnsi="Tahoma" w:cs="Tahoma"/>
          <w:lang w:val="en-US"/>
        </w:rPr>
        <w:t>was done so JSC “</w:t>
      </w:r>
      <w:r w:rsidRPr="00D1015B">
        <w:rPr>
          <w:rFonts w:ascii="Tahoma" w:hAnsi="Tahoma" w:cs="Tahoma"/>
          <w:lang w:val="en-US"/>
        </w:rPr>
        <w:t>Far-East Generating Company</w:t>
      </w:r>
      <w:r>
        <w:rPr>
          <w:rFonts w:ascii="Tahoma" w:hAnsi="Tahoma" w:cs="Tahoma"/>
          <w:lang w:val="en-US"/>
        </w:rPr>
        <w:t xml:space="preserve">” (FEGC), which cut down production by 5.4%. The FEGC third quarter of 2013 power production decreased by 10.7% mostly compensated by the 14.5% output growth of </w:t>
      </w:r>
      <w:proofErr w:type="spellStart"/>
      <w:r>
        <w:rPr>
          <w:rFonts w:ascii="Tahoma" w:hAnsi="Tahoma" w:cs="Tahoma"/>
          <w:lang w:val="en-US"/>
        </w:rPr>
        <w:t>Zeyskaya</w:t>
      </w:r>
      <w:proofErr w:type="spellEnd"/>
      <w:r>
        <w:rPr>
          <w:rFonts w:ascii="Tahoma" w:hAnsi="Tahoma" w:cs="Tahoma"/>
          <w:lang w:val="en-US"/>
        </w:rPr>
        <w:t xml:space="preserve"> and </w:t>
      </w:r>
      <w:proofErr w:type="spellStart"/>
      <w:r>
        <w:rPr>
          <w:rFonts w:ascii="Tahoma" w:hAnsi="Tahoma" w:cs="Tahoma"/>
          <w:lang w:val="en-US"/>
        </w:rPr>
        <w:t>Bureuskaya</w:t>
      </w:r>
      <w:proofErr w:type="spellEnd"/>
      <w:r>
        <w:rPr>
          <w:rFonts w:ascii="Tahoma" w:hAnsi="Tahoma" w:cs="Tahoma"/>
          <w:lang w:val="en-US"/>
        </w:rPr>
        <w:t xml:space="preserve"> HPPs (also </w:t>
      </w:r>
      <w:r w:rsidR="00554CF2">
        <w:rPr>
          <w:rFonts w:ascii="Tahoma" w:hAnsi="Tahoma" w:cs="Tahoma"/>
          <w:lang w:val="en-US"/>
        </w:rPr>
        <w:t xml:space="preserve">part of Group </w:t>
      </w:r>
      <w:r>
        <w:rPr>
          <w:rFonts w:ascii="Tahoma" w:hAnsi="Tahoma" w:cs="Tahoma"/>
          <w:lang w:val="en-US"/>
        </w:rPr>
        <w:t>RusHydro).</w:t>
      </w:r>
    </w:p>
    <w:p w:rsidR="00BF221D" w:rsidRDefault="00BF221D" w:rsidP="005C534B">
      <w:pPr>
        <w:spacing w:after="0" w:line="240" w:lineRule="auto"/>
        <w:jc w:val="both"/>
        <w:rPr>
          <w:rFonts w:ascii="Tahoma" w:hAnsi="Tahoma" w:cs="Tahoma"/>
          <w:lang w:val="en-US"/>
        </w:rPr>
      </w:pPr>
      <w:r w:rsidRPr="00EE42F6">
        <w:rPr>
          <w:rFonts w:ascii="Tahoma" w:hAnsi="Tahoma" w:cs="Tahoma"/>
          <w:lang w:val="en-US"/>
        </w:rPr>
        <w:t xml:space="preserve">The work of the new 5th power unit of </w:t>
      </w:r>
      <w:proofErr w:type="spellStart"/>
      <w:r w:rsidRPr="00EE42F6">
        <w:rPr>
          <w:rFonts w:ascii="Tahoma" w:hAnsi="Tahoma" w:cs="Tahoma"/>
          <w:lang w:val="en-US"/>
        </w:rPr>
        <w:t>Yuzhno-Sakhalinskaya</w:t>
      </w:r>
      <w:proofErr w:type="spellEnd"/>
      <w:r w:rsidRPr="00EE42F6">
        <w:rPr>
          <w:rFonts w:ascii="Tahoma" w:hAnsi="Tahoma" w:cs="Tahoma"/>
          <w:lang w:val="en-US"/>
        </w:rPr>
        <w:t xml:space="preserve"> CHPP of JSC “Sakhalinenergo” led to the reduction of the specific reference fuel consumption (SRFC) for power production by 5</w:t>
      </w:r>
      <w:r>
        <w:rPr>
          <w:rFonts w:ascii="Tahoma" w:hAnsi="Tahoma" w:cs="Tahoma"/>
          <w:lang w:val="en-US"/>
        </w:rPr>
        <w:t>3</w:t>
      </w:r>
      <w:r w:rsidRPr="00EE42F6">
        <w:rPr>
          <w:rFonts w:ascii="Tahoma" w:hAnsi="Tahoma" w:cs="Tahoma"/>
          <w:lang w:val="en-US"/>
        </w:rPr>
        <w:t>.</w:t>
      </w:r>
      <w:r>
        <w:rPr>
          <w:rFonts w:ascii="Tahoma" w:hAnsi="Tahoma" w:cs="Tahoma"/>
          <w:lang w:val="en-US"/>
        </w:rPr>
        <w:t>6</w:t>
      </w:r>
      <w:r w:rsidRPr="00EE42F6">
        <w:rPr>
          <w:rFonts w:ascii="Tahoma" w:hAnsi="Tahoma" w:cs="Tahoma"/>
          <w:lang w:val="en-US"/>
        </w:rPr>
        <w:t xml:space="preserve"> g/kWh from to </w:t>
      </w:r>
      <w:r>
        <w:rPr>
          <w:rFonts w:ascii="Tahoma" w:hAnsi="Tahoma" w:cs="Tahoma"/>
          <w:lang w:val="en-US"/>
        </w:rPr>
        <w:t>400</w:t>
      </w:r>
      <w:r w:rsidRPr="00EE42F6">
        <w:rPr>
          <w:rFonts w:ascii="Tahoma" w:hAnsi="Tahoma" w:cs="Tahoma"/>
          <w:lang w:val="en-US"/>
        </w:rPr>
        <w:t>.</w:t>
      </w:r>
      <w:r>
        <w:rPr>
          <w:rFonts w:ascii="Tahoma" w:hAnsi="Tahoma" w:cs="Tahoma"/>
          <w:lang w:val="en-US"/>
        </w:rPr>
        <w:t>5</w:t>
      </w:r>
      <w:r w:rsidRPr="00EE42F6">
        <w:rPr>
          <w:rFonts w:ascii="Tahoma" w:hAnsi="Tahoma" w:cs="Tahoma"/>
          <w:lang w:val="en-US"/>
        </w:rPr>
        <w:t xml:space="preserve"> g/kWh.</w:t>
      </w:r>
      <w:r>
        <w:rPr>
          <w:rFonts w:ascii="Tahoma" w:hAnsi="Tahoma" w:cs="Tahoma"/>
          <w:lang w:val="en-US"/>
        </w:rPr>
        <w:t xml:space="preserve"> </w:t>
      </w:r>
      <w:r w:rsidRPr="00EE42F6">
        <w:rPr>
          <w:rFonts w:ascii="Tahoma" w:hAnsi="Tahoma" w:cs="Tahoma"/>
          <w:lang w:val="en-US"/>
        </w:rPr>
        <w:t xml:space="preserve">Effectively, the total SRFC of the Holding decreased by </w:t>
      </w:r>
      <w:r>
        <w:rPr>
          <w:rFonts w:ascii="Tahoma" w:hAnsi="Tahoma" w:cs="Tahoma"/>
          <w:lang w:val="en-US"/>
        </w:rPr>
        <w:t>3</w:t>
      </w:r>
      <w:r w:rsidRPr="00EE42F6">
        <w:rPr>
          <w:rFonts w:ascii="Tahoma" w:hAnsi="Tahoma" w:cs="Tahoma"/>
          <w:lang w:val="en-US"/>
        </w:rPr>
        <w:t>.</w:t>
      </w:r>
      <w:r>
        <w:rPr>
          <w:rFonts w:ascii="Tahoma" w:hAnsi="Tahoma" w:cs="Tahoma"/>
          <w:lang w:val="en-US"/>
        </w:rPr>
        <w:t>3</w:t>
      </w:r>
      <w:r w:rsidRPr="00EE42F6">
        <w:rPr>
          <w:rFonts w:ascii="Tahoma" w:hAnsi="Tahoma" w:cs="Tahoma"/>
          <w:lang w:val="en-US"/>
        </w:rPr>
        <w:t xml:space="preserve"> g/kWh down to 3</w:t>
      </w:r>
      <w:r>
        <w:rPr>
          <w:rFonts w:ascii="Tahoma" w:hAnsi="Tahoma" w:cs="Tahoma"/>
          <w:lang w:val="en-US"/>
        </w:rPr>
        <w:t>91</w:t>
      </w:r>
      <w:r w:rsidRPr="00EE42F6">
        <w:rPr>
          <w:rFonts w:ascii="Tahoma" w:hAnsi="Tahoma" w:cs="Tahoma"/>
          <w:lang w:val="en-US"/>
        </w:rPr>
        <w:t xml:space="preserve"> g/kWh</w:t>
      </w:r>
      <w:r>
        <w:rPr>
          <w:rFonts w:ascii="Tahoma" w:hAnsi="Tahoma" w:cs="Tahoma"/>
          <w:lang w:val="en-US"/>
        </w:rPr>
        <w:t xml:space="preserve">. </w:t>
      </w:r>
      <w:r w:rsidRPr="00EE42F6">
        <w:rPr>
          <w:rFonts w:ascii="Tahoma" w:hAnsi="Tahoma" w:cs="Tahoma"/>
          <w:lang w:val="en-US"/>
        </w:rPr>
        <w:t xml:space="preserve">As the result, the fuel consumption for power production in the </w:t>
      </w:r>
      <w:r>
        <w:rPr>
          <w:rFonts w:ascii="Tahoma" w:hAnsi="Tahoma" w:cs="Tahoma"/>
          <w:lang w:val="en-US"/>
        </w:rPr>
        <w:t>9</w:t>
      </w:r>
      <w:r w:rsidRPr="00EE42F6">
        <w:rPr>
          <w:rFonts w:ascii="Tahoma" w:hAnsi="Tahoma" w:cs="Tahoma"/>
          <w:lang w:val="en-US"/>
        </w:rPr>
        <w:t xml:space="preserve"> months of 2013 measured in tones of reference fuel was </w:t>
      </w:r>
      <w:r>
        <w:rPr>
          <w:rFonts w:ascii="Tahoma" w:hAnsi="Tahoma" w:cs="Tahoma"/>
          <w:lang w:val="en-US"/>
        </w:rPr>
        <w:t>5</w:t>
      </w:r>
      <w:r w:rsidRPr="00EE42F6">
        <w:rPr>
          <w:rFonts w:ascii="Tahoma" w:hAnsi="Tahoma" w:cs="Tahoma"/>
          <w:lang w:val="en-US"/>
        </w:rPr>
        <w:t xml:space="preserve">% lower amounting to </w:t>
      </w:r>
      <w:r>
        <w:rPr>
          <w:rFonts w:ascii="Tahoma" w:hAnsi="Tahoma" w:cs="Tahoma"/>
          <w:lang w:val="en-US"/>
        </w:rPr>
        <w:t>6</w:t>
      </w:r>
      <w:r w:rsidRPr="00EE42F6">
        <w:rPr>
          <w:rFonts w:ascii="Tahoma" w:hAnsi="Tahoma" w:cs="Tahoma"/>
          <w:lang w:val="en-US"/>
        </w:rPr>
        <w:t>,</w:t>
      </w:r>
      <w:r>
        <w:rPr>
          <w:rFonts w:ascii="Tahoma" w:hAnsi="Tahoma" w:cs="Tahoma"/>
          <w:lang w:val="en-US"/>
        </w:rPr>
        <w:t>934</w:t>
      </w:r>
      <w:r w:rsidRPr="00EE42F6">
        <w:rPr>
          <w:rFonts w:ascii="Tahoma" w:hAnsi="Tahoma" w:cs="Tahoma"/>
          <w:lang w:val="en-US"/>
        </w:rPr>
        <w:t xml:space="preserve"> thousand tones</w:t>
      </w:r>
    </w:p>
    <w:p w:rsidR="00BF221D" w:rsidRDefault="00BF221D" w:rsidP="005C534B">
      <w:pPr>
        <w:spacing w:after="0" w:line="240" w:lineRule="auto"/>
        <w:jc w:val="both"/>
        <w:rPr>
          <w:rFonts w:ascii="Tahoma" w:hAnsi="Tahoma" w:cs="Tahoma"/>
          <w:lang w:val="en-US"/>
        </w:rPr>
      </w:pPr>
    </w:p>
    <w:p w:rsidR="0040023A" w:rsidRPr="0040023A" w:rsidRDefault="0040023A" w:rsidP="00595970">
      <w:pPr>
        <w:spacing w:after="0" w:line="240" w:lineRule="auto"/>
        <w:jc w:val="both"/>
        <w:rPr>
          <w:rFonts w:ascii="Tahoma" w:eastAsia="Times New Roman" w:hAnsi="Tahoma" w:cs="Tahoma"/>
          <w:b/>
          <w:sz w:val="24"/>
          <w:szCs w:val="24"/>
          <w:lang w:val="en-US" w:eastAsia="ru-RU"/>
        </w:rPr>
      </w:pPr>
      <w:r w:rsidRPr="0040023A">
        <w:rPr>
          <w:rFonts w:ascii="Tahoma" w:eastAsia="Times New Roman" w:hAnsi="Tahoma" w:cs="Tahoma"/>
          <w:b/>
          <w:sz w:val="24"/>
          <w:szCs w:val="24"/>
          <w:lang w:val="en-US" w:eastAsia="ru-RU"/>
        </w:rPr>
        <w:t>Revenue</w:t>
      </w:r>
    </w:p>
    <w:p w:rsidR="0040023A" w:rsidRPr="006C2944" w:rsidRDefault="00704B9A" w:rsidP="00595970">
      <w:pPr>
        <w:spacing w:after="0" w:line="240" w:lineRule="auto"/>
        <w:jc w:val="both"/>
        <w:rPr>
          <w:rFonts w:ascii="Tahoma" w:eastAsia="Times New Roman" w:hAnsi="Tahoma" w:cs="Tahoma"/>
          <w:sz w:val="24"/>
          <w:szCs w:val="24"/>
          <w:lang w:val="en-US" w:eastAsia="ru-RU"/>
        </w:rPr>
      </w:pPr>
      <w:r w:rsidRPr="006C2944">
        <w:rPr>
          <w:rFonts w:ascii="Tahoma" w:eastAsia="Times New Roman" w:hAnsi="Tahoma" w:cs="Tahoma"/>
          <w:sz w:val="24"/>
          <w:szCs w:val="24"/>
          <w:lang w:val="en-US" w:eastAsia="ru-RU"/>
        </w:rPr>
        <w:t xml:space="preserve">The Group revenues </w:t>
      </w:r>
      <w:r w:rsidR="00973C31" w:rsidRPr="006C2944">
        <w:rPr>
          <w:rFonts w:ascii="Tahoma" w:eastAsia="Times New Roman" w:hAnsi="Tahoma" w:cs="Tahoma"/>
          <w:sz w:val="24"/>
          <w:szCs w:val="24"/>
          <w:lang w:val="en-US" w:eastAsia="ru-RU"/>
        </w:rPr>
        <w:t>through</w:t>
      </w:r>
      <w:r w:rsidR="003D2A06" w:rsidRPr="006C2944">
        <w:rPr>
          <w:rFonts w:ascii="Tahoma" w:eastAsia="Times New Roman" w:hAnsi="Tahoma" w:cs="Tahoma"/>
          <w:sz w:val="24"/>
          <w:szCs w:val="24"/>
          <w:lang w:val="en-US" w:eastAsia="ru-RU"/>
        </w:rPr>
        <w:t xml:space="preserve"> </w:t>
      </w:r>
      <w:r w:rsidR="003C0771">
        <w:rPr>
          <w:rFonts w:ascii="Tahoma" w:eastAsia="Times New Roman" w:hAnsi="Tahoma" w:cs="Tahoma"/>
          <w:sz w:val="24"/>
          <w:szCs w:val="24"/>
          <w:lang w:val="en-US" w:eastAsia="ru-RU"/>
        </w:rPr>
        <w:t xml:space="preserve">first </w:t>
      </w:r>
      <w:r w:rsidR="00554CF2">
        <w:rPr>
          <w:rFonts w:ascii="Tahoma" w:eastAsia="Times New Roman" w:hAnsi="Tahoma" w:cs="Tahoma"/>
          <w:sz w:val="24"/>
          <w:szCs w:val="24"/>
          <w:lang w:val="en-US" w:eastAsia="ru-RU"/>
        </w:rPr>
        <w:t>9</w:t>
      </w:r>
      <w:r w:rsidR="003D2A06" w:rsidRPr="006C2944">
        <w:rPr>
          <w:rFonts w:ascii="Tahoma" w:eastAsia="Times New Roman" w:hAnsi="Tahoma" w:cs="Tahoma"/>
          <w:sz w:val="24"/>
          <w:szCs w:val="24"/>
          <w:lang w:val="en-US" w:eastAsia="ru-RU"/>
        </w:rPr>
        <w:t xml:space="preserve"> months of 201</w:t>
      </w:r>
      <w:r w:rsidR="003C0771">
        <w:rPr>
          <w:rFonts w:ascii="Tahoma" w:eastAsia="Times New Roman" w:hAnsi="Tahoma" w:cs="Tahoma"/>
          <w:sz w:val="24"/>
          <w:szCs w:val="24"/>
          <w:lang w:val="en-US" w:eastAsia="ru-RU"/>
        </w:rPr>
        <w:t>3</w:t>
      </w:r>
      <w:r w:rsidR="00E37318" w:rsidRPr="006C2944">
        <w:rPr>
          <w:rFonts w:ascii="Tahoma" w:eastAsia="Times New Roman" w:hAnsi="Tahoma" w:cs="Tahoma"/>
          <w:sz w:val="24"/>
          <w:szCs w:val="24"/>
          <w:lang w:val="en-US" w:eastAsia="ru-RU"/>
        </w:rPr>
        <w:t>,</w:t>
      </w:r>
      <w:r w:rsidR="003D2A06" w:rsidRPr="006C2944">
        <w:rPr>
          <w:rFonts w:ascii="Tahoma" w:eastAsia="Times New Roman" w:hAnsi="Tahoma" w:cs="Tahoma"/>
          <w:sz w:val="24"/>
          <w:szCs w:val="24"/>
          <w:lang w:val="en-US" w:eastAsia="ru-RU"/>
        </w:rPr>
        <w:t xml:space="preserve"> </w:t>
      </w:r>
      <w:r w:rsidR="006C487E" w:rsidRPr="006C2944">
        <w:rPr>
          <w:rFonts w:ascii="Tahoma" w:eastAsia="Times New Roman" w:hAnsi="Tahoma" w:cs="Tahoma"/>
          <w:sz w:val="24"/>
          <w:szCs w:val="24"/>
          <w:lang w:val="en-US" w:eastAsia="ru-RU"/>
        </w:rPr>
        <w:t>combined</w:t>
      </w:r>
      <w:r w:rsidRPr="006C2944">
        <w:rPr>
          <w:rFonts w:ascii="Tahoma" w:eastAsia="Times New Roman" w:hAnsi="Tahoma" w:cs="Tahoma"/>
          <w:sz w:val="24"/>
          <w:szCs w:val="24"/>
          <w:lang w:val="en-US" w:eastAsia="ru-RU"/>
        </w:rPr>
        <w:t xml:space="preserve"> with government </w:t>
      </w:r>
      <w:r w:rsidR="003D2A06" w:rsidRPr="006C2944">
        <w:rPr>
          <w:rFonts w:ascii="Tahoma" w:eastAsia="Times New Roman" w:hAnsi="Tahoma" w:cs="Tahoma"/>
          <w:sz w:val="24"/>
          <w:szCs w:val="24"/>
          <w:lang w:val="en-US" w:eastAsia="ru-RU"/>
        </w:rPr>
        <w:t>grants</w:t>
      </w:r>
      <w:r w:rsidRPr="006C2944">
        <w:rPr>
          <w:rFonts w:ascii="Tahoma" w:eastAsia="Times New Roman" w:hAnsi="Tahoma" w:cs="Tahoma"/>
          <w:sz w:val="24"/>
          <w:szCs w:val="24"/>
          <w:lang w:val="en-US" w:eastAsia="ru-RU"/>
        </w:rPr>
        <w:t xml:space="preserve">, </w:t>
      </w:r>
      <w:r w:rsidR="00D015FA">
        <w:rPr>
          <w:rFonts w:ascii="Tahoma" w:eastAsia="Times New Roman" w:hAnsi="Tahoma" w:cs="Tahoma"/>
          <w:sz w:val="24"/>
          <w:szCs w:val="24"/>
          <w:lang w:val="en-US" w:eastAsia="ru-RU"/>
        </w:rPr>
        <w:t>in</w:t>
      </w:r>
      <w:r w:rsidRPr="006C2944">
        <w:rPr>
          <w:rFonts w:ascii="Tahoma" w:eastAsia="Times New Roman" w:hAnsi="Tahoma" w:cs="Tahoma"/>
          <w:sz w:val="24"/>
          <w:szCs w:val="24"/>
          <w:lang w:val="en-US" w:eastAsia="ru-RU"/>
        </w:rPr>
        <w:t xml:space="preserve">creased by </w:t>
      </w:r>
      <w:r w:rsidR="00554CF2">
        <w:rPr>
          <w:rFonts w:ascii="Tahoma" w:eastAsia="Times New Roman" w:hAnsi="Tahoma" w:cs="Tahoma"/>
          <w:sz w:val="24"/>
          <w:szCs w:val="24"/>
          <w:lang w:val="en-US" w:eastAsia="ru-RU"/>
        </w:rPr>
        <w:t>7</w:t>
      </w:r>
      <w:r w:rsidRPr="006C2944">
        <w:rPr>
          <w:rFonts w:ascii="Tahoma" w:eastAsia="Times New Roman" w:hAnsi="Tahoma" w:cs="Tahoma"/>
          <w:sz w:val="24"/>
          <w:szCs w:val="24"/>
          <w:lang w:val="en-US" w:eastAsia="ru-RU"/>
        </w:rPr>
        <w:t>%</w:t>
      </w:r>
      <w:r w:rsidR="00973C31" w:rsidRPr="006C2944">
        <w:rPr>
          <w:rFonts w:ascii="Tahoma" w:eastAsia="Times New Roman" w:hAnsi="Tahoma" w:cs="Tahoma"/>
          <w:sz w:val="24"/>
          <w:szCs w:val="24"/>
          <w:lang w:val="en-US" w:eastAsia="ru-RU"/>
        </w:rPr>
        <w:t xml:space="preserve"> </w:t>
      </w:r>
      <w:r w:rsidRPr="006C2944">
        <w:rPr>
          <w:rFonts w:ascii="Tahoma" w:eastAsia="Times New Roman" w:hAnsi="Tahoma" w:cs="Tahoma"/>
          <w:sz w:val="24"/>
          <w:szCs w:val="24"/>
          <w:lang w:val="en-US" w:eastAsia="ru-RU"/>
        </w:rPr>
        <w:t xml:space="preserve">amounting to </w:t>
      </w:r>
      <w:r w:rsidR="00554CF2">
        <w:rPr>
          <w:rFonts w:ascii="Tahoma" w:eastAsia="Times New Roman" w:hAnsi="Tahoma" w:cs="Tahoma"/>
          <w:sz w:val="24"/>
          <w:szCs w:val="24"/>
          <w:lang w:val="en-US" w:eastAsia="ru-RU"/>
        </w:rPr>
        <w:t>103</w:t>
      </w:r>
      <w:r w:rsidR="00813D04" w:rsidRPr="006C2944">
        <w:rPr>
          <w:rFonts w:ascii="Tahoma" w:eastAsia="Times New Roman" w:hAnsi="Tahoma" w:cs="Tahoma"/>
          <w:sz w:val="24"/>
          <w:szCs w:val="24"/>
          <w:lang w:val="en-US" w:eastAsia="ru-RU"/>
        </w:rPr>
        <w:t>,</w:t>
      </w:r>
      <w:r w:rsidR="00554CF2">
        <w:rPr>
          <w:rFonts w:ascii="Tahoma" w:eastAsia="Times New Roman" w:hAnsi="Tahoma" w:cs="Tahoma"/>
          <w:sz w:val="24"/>
          <w:szCs w:val="24"/>
          <w:lang w:val="en-US" w:eastAsia="ru-RU"/>
        </w:rPr>
        <w:t>921</w:t>
      </w:r>
      <w:r w:rsidRPr="006C2944">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Pr="006C2944">
        <w:rPr>
          <w:rFonts w:ascii="Tahoma" w:eastAsia="Times New Roman" w:hAnsi="Tahoma" w:cs="Tahoma"/>
          <w:sz w:val="24"/>
          <w:szCs w:val="24"/>
          <w:lang w:val="en-US" w:eastAsia="ru-RU"/>
        </w:rPr>
        <w:t xml:space="preserve"> </w:t>
      </w:r>
      <w:r w:rsidR="001E36C5" w:rsidRPr="006C2944">
        <w:rPr>
          <w:rFonts w:ascii="Tahoma" w:eastAsia="Times New Roman" w:hAnsi="Tahoma" w:cs="Tahoma"/>
          <w:sz w:val="24"/>
          <w:szCs w:val="24"/>
          <w:lang w:val="en-US" w:eastAsia="ru-RU"/>
        </w:rPr>
        <w:t>RUB</w:t>
      </w:r>
      <w:r w:rsidRPr="006C2944">
        <w:rPr>
          <w:rFonts w:ascii="Tahoma" w:eastAsia="Times New Roman" w:hAnsi="Tahoma" w:cs="Tahoma"/>
          <w:sz w:val="24"/>
          <w:szCs w:val="24"/>
          <w:lang w:val="en-US" w:eastAsia="ru-RU"/>
        </w:rPr>
        <w:t xml:space="preserve">, compared to </w:t>
      </w:r>
      <w:r w:rsidR="00554CF2">
        <w:rPr>
          <w:rFonts w:ascii="Tahoma" w:eastAsia="Times New Roman" w:hAnsi="Tahoma" w:cs="Tahoma"/>
          <w:sz w:val="24"/>
          <w:szCs w:val="24"/>
          <w:lang w:val="en-US" w:eastAsia="ru-RU"/>
        </w:rPr>
        <w:t>97</w:t>
      </w:r>
      <w:r w:rsidR="00813D04" w:rsidRPr="006C2944">
        <w:rPr>
          <w:rFonts w:ascii="Tahoma" w:eastAsia="Times New Roman" w:hAnsi="Tahoma" w:cs="Tahoma"/>
          <w:sz w:val="24"/>
          <w:szCs w:val="24"/>
          <w:lang w:val="en-US" w:eastAsia="ru-RU"/>
        </w:rPr>
        <w:t>,</w:t>
      </w:r>
      <w:r w:rsidR="00554CF2">
        <w:rPr>
          <w:rFonts w:ascii="Tahoma" w:eastAsia="Times New Roman" w:hAnsi="Tahoma" w:cs="Tahoma"/>
          <w:sz w:val="24"/>
          <w:szCs w:val="24"/>
          <w:lang w:val="en-US" w:eastAsia="ru-RU"/>
        </w:rPr>
        <w:t>4</w:t>
      </w:r>
      <w:r w:rsidR="00D015FA">
        <w:rPr>
          <w:rFonts w:ascii="Tahoma" w:eastAsia="Times New Roman" w:hAnsi="Tahoma" w:cs="Tahoma"/>
          <w:sz w:val="24"/>
          <w:szCs w:val="24"/>
          <w:lang w:val="en-US" w:eastAsia="ru-RU"/>
        </w:rPr>
        <w:t>7</w:t>
      </w:r>
      <w:r w:rsidR="00554CF2">
        <w:rPr>
          <w:rFonts w:ascii="Tahoma" w:eastAsia="Times New Roman" w:hAnsi="Tahoma" w:cs="Tahoma"/>
          <w:sz w:val="24"/>
          <w:szCs w:val="24"/>
          <w:lang w:val="en-US" w:eastAsia="ru-RU"/>
        </w:rPr>
        <w:t>0</w:t>
      </w:r>
      <w:r w:rsidRPr="006C2944">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Pr="006C2944">
        <w:rPr>
          <w:rFonts w:ascii="Tahoma" w:eastAsia="Times New Roman" w:hAnsi="Tahoma" w:cs="Tahoma"/>
          <w:sz w:val="24"/>
          <w:szCs w:val="24"/>
          <w:lang w:val="en-US" w:eastAsia="ru-RU"/>
        </w:rPr>
        <w:t xml:space="preserve"> </w:t>
      </w:r>
      <w:r w:rsidR="001E36C5" w:rsidRPr="006C2944">
        <w:rPr>
          <w:rFonts w:ascii="Tahoma" w:eastAsia="Times New Roman" w:hAnsi="Tahoma" w:cs="Tahoma"/>
          <w:sz w:val="24"/>
          <w:szCs w:val="24"/>
          <w:lang w:val="en-US" w:eastAsia="ru-RU"/>
        </w:rPr>
        <w:t>RUB</w:t>
      </w:r>
      <w:r w:rsidRPr="006C2944">
        <w:rPr>
          <w:rFonts w:ascii="Tahoma" w:eastAsia="Times New Roman" w:hAnsi="Tahoma" w:cs="Tahoma"/>
          <w:sz w:val="24"/>
          <w:szCs w:val="24"/>
          <w:lang w:val="en-US" w:eastAsia="ru-RU"/>
        </w:rPr>
        <w:t xml:space="preserve"> </w:t>
      </w:r>
      <w:r w:rsidR="00C0649B" w:rsidRPr="006C2944">
        <w:rPr>
          <w:rFonts w:ascii="Tahoma" w:eastAsia="Times New Roman" w:hAnsi="Tahoma" w:cs="Tahoma"/>
          <w:sz w:val="24"/>
          <w:szCs w:val="24"/>
          <w:lang w:val="en-US" w:eastAsia="ru-RU"/>
        </w:rPr>
        <w:t>during the previous year</w:t>
      </w:r>
      <w:r w:rsidRPr="006C2944">
        <w:rPr>
          <w:rFonts w:ascii="Tahoma" w:eastAsia="Times New Roman" w:hAnsi="Tahoma" w:cs="Tahoma"/>
          <w:sz w:val="24"/>
          <w:szCs w:val="24"/>
          <w:lang w:val="en-US" w:eastAsia="ru-RU"/>
        </w:rPr>
        <w:t>.</w:t>
      </w:r>
    </w:p>
    <w:p w:rsidR="0040023A" w:rsidRPr="006C2944" w:rsidRDefault="0040023A" w:rsidP="00595970">
      <w:pPr>
        <w:spacing w:after="0" w:line="240" w:lineRule="auto"/>
        <w:jc w:val="both"/>
        <w:rPr>
          <w:rFonts w:ascii="Tahoma" w:eastAsia="Times New Roman" w:hAnsi="Tahoma" w:cs="Tahoma"/>
          <w:sz w:val="24"/>
          <w:szCs w:val="24"/>
          <w:lang w:val="en-US" w:eastAsia="ru-RU"/>
        </w:rPr>
      </w:pPr>
    </w:p>
    <w:p w:rsidR="00595970" w:rsidRPr="006C2944" w:rsidRDefault="00595970" w:rsidP="00595970">
      <w:pPr>
        <w:spacing w:after="0" w:line="240" w:lineRule="auto"/>
        <w:jc w:val="both"/>
        <w:rPr>
          <w:rFonts w:ascii="Tahoma" w:eastAsia="Times New Roman" w:hAnsi="Tahoma" w:cs="Tahoma"/>
          <w:sz w:val="24"/>
          <w:szCs w:val="24"/>
          <w:lang w:val="en-US" w:eastAsia="ru-RU"/>
        </w:rPr>
      </w:pPr>
      <w:r w:rsidRPr="006C2944">
        <w:rPr>
          <w:rFonts w:ascii="Tahoma" w:eastAsia="Times New Roman" w:hAnsi="Tahoma" w:cs="Tahoma"/>
          <w:sz w:val="24"/>
          <w:szCs w:val="24"/>
          <w:lang w:val="en-US" w:eastAsia="ru-RU"/>
        </w:rPr>
        <w:t xml:space="preserve">The main factors </w:t>
      </w:r>
      <w:r w:rsidR="002F734F" w:rsidRPr="006C2944">
        <w:rPr>
          <w:rFonts w:ascii="Tahoma" w:eastAsia="Times New Roman" w:hAnsi="Tahoma" w:cs="Tahoma"/>
          <w:sz w:val="24"/>
          <w:szCs w:val="24"/>
          <w:lang w:val="en-US" w:eastAsia="ru-RU"/>
        </w:rPr>
        <w:t>influencing</w:t>
      </w:r>
      <w:r w:rsidRPr="006C2944">
        <w:rPr>
          <w:rFonts w:ascii="Tahoma" w:eastAsia="Times New Roman" w:hAnsi="Tahoma" w:cs="Tahoma"/>
          <w:sz w:val="24"/>
          <w:szCs w:val="24"/>
          <w:lang w:val="en-US" w:eastAsia="ru-RU"/>
        </w:rPr>
        <w:t xml:space="preserve"> </w:t>
      </w:r>
      <w:r w:rsidR="003C0771">
        <w:rPr>
          <w:rFonts w:ascii="Tahoma" w:eastAsia="Times New Roman" w:hAnsi="Tahoma" w:cs="Tahoma"/>
          <w:sz w:val="24"/>
          <w:szCs w:val="24"/>
          <w:lang w:val="en-US" w:eastAsia="ru-RU"/>
        </w:rPr>
        <w:t xml:space="preserve">the </w:t>
      </w:r>
      <w:r w:rsidRPr="006C2944">
        <w:rPr>
          <w:rFonts w:ascii="Tahoma" w:eastAsia="Times New Roman" w:hAnsi="Tahoma" w:cs="Tahoma"/>
          <w:sz w:val="24"/>
          <w:szCs w:val="24"/>
          <w:lang w:val="en-US" w:eastAsia="ru-RU"/>
        </w:rPr>
        <w:t xml:space="preserve">revenue </w:t>
      </w:r>
      <w:r w:rsidR="002F6345" w:rsidRPr="006C2944">
        <w:rPr>
          <w:rFonts w:ascii="Tahoma" w:eastAsia="Times New Roman" w:hAnsi="Tahoma" w:cs="Tahoma"/>
          <w:sz w:val="24"/>
          <w:szCs w:val="24"/>
          <w:lang w:val="en-US" w:eastAsia="ru-RU"/>
        </w:rPr>
        <w:t>in</w:t>
      </w:r>
      <w:r w:rsidR="003D2A06" w:rsidRPr="006C2944">
        <w:rPr>
          <w:rFonts w:ascii="Tahoma" w:eastAsia="Times New Roman" w:hAnsi="Tahoma" w:cs="Tahoma"/>
          <w:sz w:val="24"/>
          <w:szCs w:val="24"/>
          <w:lang w:val="en-US" w:eastAsia="ru-RU"/>
        </w:rPr>
        <w:t xml:space="preserve"> </w:t>
      </w:r>
      <w:r w:rsidR="003C0771">
        <w:rPr>
          <w:rFonts w:ascii="Tahoma" w:eastAsia="Times New Roman" w:hAnsi="Tahoma" w:cs="Tahoma"/>
          <w:sz w:val="24"/>
          <w:szCs w:val="24"/>
          <w:lang w:val="en-US" w:eastAsia="ru-RU"/>
        </w:rPr>
        <w:t xml:space="preserve">the first </w:t>
      </w:r>
      <w:r w:rsidR="00554CF2">
        <w:rPr>
          <w:rFonts w:ascii="Tahoma" w:eastAsia="Times New Roman" w:hAnsi="Tahoma" w:cs="Tahoma"/>
          <w:sz w:val="24"/>
          <w:szCs w:val="24"/>
          <w:lang w:val="en-US" w:eastAsia="ru-RU"/>
        </w:rPr>
        <w:t>9</w:t>
      </w:r>
      <w:r w:rsidR="008E0B85">
        <w:rPr>
          <w:rFonts w:ascii="Tahoma" w:eastAsia="Times New Roman" w:hAnsi="Tahoma" w:cs="Tahoma"/>
          <w:sz w:val="24"/>
          <w:szCs w:val="24"/>
          <w:lang w:val="en-US" w:eastAsia="ru-RU"/>
        </w:rPr>
        <w:t xml:space="preserve"> months</w:t>
      </w:r>
      <w:r w:rsidR="003D2A06" w:rsidRPr="006C2944">
        <w:rPr>
          <w:rFonts w:ascii="Tahoma" w:eastAsia="Times New Roman" w:hAnsi="Tahoma" w:cs="Tahoma"/>
          <w:sz w:val="24"/>
          <w:szCs w:val="24"/>
          <w:lang w:val="en-US" w:eastAsia="ru-RU"/>
        </w:rPr>
        <w:t xml:space="preserve"> of</w:t>
      </w:r>
      <w:r w:rsidR="002F6345" w:rsidRPr="006C2944">
        <w:rPr>
          <w:rFonts w:ascii="Tahoma" w:eastAsia="Times New Roman" w:hAnsi="Tahoma" w:cs="Tahoma"/>
          <w:sz w:val="24"/>
          <w:szCs w:val="24"/>
          <w:lang w:val="en-US" w:eastAsia="ru-RU"/>
        </w:rPr>
        <w:t xml:space="preserve"> 201</w:t>
      </w:r>
      <w:r w:rsidR="003C0771">
        <w:rPr>
          <w:rFonts w:ascii="Tahoma" w:eastAsia="Times New Roman" w:hAnsi="Tahoma" w:cs="Tahoma"/>
          <w:sz w:val="24"/>
          <w:szCs w:val="24"/>
          <w:lang w:val="en-US" w:eastAsia="ru-RU"/>
        </w:rPr>
        <w:t>3</w:t>
      </w:r>
      <w:r w:rsidR="002F6345" w:rsidRPr="006C2944">
        <w:rPr>
          <w:rFonts w:ascii="Tahoma" w:eastAsia="Times New Roman" w:hAnsi="Tahoma" w:cs="Tahoma"/>
          <w:sz w:val="24"/>
          <w:szCs w:val="24"/>
          <w:lang w:val="en-US" w:eastAsia="ru-RU"/>
        </w:rPr>
        <w:t xml:space="preserve"> </w:t>
      </w:r>
      <w:r w:rsidRPr="006C2944">
        <w:rPr>
          <w:rFonts w:ascii="Tahoma" w:eastAsia="Times New Roman" w:hAnsi="Tahoma" w:cs="Tahoma"/>
          <w:sz w:val="24"/>
          <w:szCs w:val="24"/>
          <w:lang w:val="en-US" w:eastAsia="ru-RU"/>
        </w:rPr>
        <w:t>were:</w:t>
      </w:r>
    </w:p>
    <w:p w:rsidR="00D015FA" w:rsidRPr="009B372E" w:rsidRDefault="00554CF2" w:rsidP="00D015FA">
      <w:pPr>
        <w:numPr>
          <w:ilvl w:val="0"/>
          <w:numId w:val="7"/>
        </w:numPr>
        <w:spacing w:before="100" w:beforeAutospacing="1" w:after="150" w:line="240" w:lineRule="auto"/>
        <w:ind w:right="75"/>
        <w:rPr>
          <w:rFonts w:ascii="Tahoma" w:hAnsi="Tahoma"/>
          <w:sz w:val="24"/>
          <w:lang w:val="en-US"/>
        </w:rPr>
      </w:pPr>
      <w:r>
        <w:rPr>
          <w:rFonts w:ascii="Tahoma" w:eastAsia="Times New Roman" w:hAnsi="Tahoma" w:cs="Tahoma"/>
          <w:sz w:val="24"/>
          <w:szCs w:val="24"/>
          <w:lang w:val="en-US" w:eastAsia="ru-RU"/>
        </w:rPr>
        <w:t>5</w:t>
      </w:r>
      <w:r w:rsidR="00D015FA">
        <w:rPr>
          <w:rFonts w:ascii="Tahoma" w:eastAsia="Times New Roman" w:hAnsi="Tahoma" w:cs="Tahoma"/>
          <w:sz w:val="24"/>
          <w:szCs w:val="24"/>
          <w:lang w:val="en-US" w:eastAsia="ru-RU"/>
        </w:rPr>
        <w:t>% growth y-o-y (to 3.</w:t>
      </w:r>
      <w:r>
        <w:rPr>
          <w:rFonts w:ascii="Tahoma" w:eastAsia="Times New Roman" w:hAnsi="Tahoma" w:cs="Tahoma"/>
          <w:sz w:val="24"/>
          <w:szCs w:val="24"/>
          <w:lang w:val="en-US" w:eastAsia="ru-RU"/>
        </w:rPr>
        <w:t>14</w:t>
      </w:r>
      <w:r w:rsidR="00D015FA">
        <w:rPr>
          <w:rFonts w:ascii="Tahoma" w:eastAsia="Times New Roman" w:hAnsi="Tahoma" w:cs="Tahoma"/>
          <w:sz w:val="24"/>
          <w:szCs w:val="24"/>
          <w:lang w:val="en-US" w:eastAsia="ru-RU"/>
        </w:rPr>
        <w:t xml:space="preserve"> RUB / kWh ) in the average tariff on electricity sold by companies under the control of JSC “RAO ES of East”  due to annual tariff indexation in the isolated zones. </w:t>
      </w:r>
    </w:p>
    <w:p w:rsidR="00D015FA" w:rsidRDefault="00554CF2" w:rsidP="00BE6ECB">
      <w:pPr>
        <w:numPr>
          <w:ilvl w:val="0"/>
          <w:numId w:val="7"/>
        </w:numPr>
        <w:spacing w:before="100" w:beforeAutospacing="1" w:after="150" w:line="240" w:lineRule="auto"/>
        <w:ind w:right="75"/>
        <w:rPr>
          <w:rFonts w:ascii="Tahoma" w:hAnsi="Tahoma"/>
          <w:sz w:val="24"/>
          <w:lang w:val="en-US"/>
        </w:rPr>
      </w:pPr>
      <w:r>
        <w:rPr>
          <w:rFonts w:ascii="Tahoma" w:eastAsia="Times New Roman" w:hAnsi="Tahoma" w:cs="Tahoma"/>
          <w:sz w:val="24"/>
          <w:szCs w:val="24"/>
          <w:lang w:val="en-US" w:eastAsia="ru-RU"/>
        </w:rPr>
        <w:t>62</w:t>
      </w:r>
      <w:r w:rsidR="00D015FA">
        <w:rPr>
          <w:rFonts w:ascii="Tahoma" w:eastAsia="Times New Roman" w:hAnsi="Tahoma" w:cs="Tahoma"/>
          <w:sz w:val="24"/>
          <w:szCs w:val="24"/>
          <w:lang w:val="en-US" w:eastAsia="ru-RU"/>
        </w:rPr>
        <w:t>% y-o-y g</w:t>
      </w:r>
      <w:r w:rsidR="00D015FA" w:rsidRPr="009B372E">
        <w:rPr>
          <w:rFonts w:ascii="Tahoma" w:eastAsia="Times New Roman" w:hAnsi="Tahoma" w:cs="Tahoma"/>
          <w:sz w:val="24"/>
          <w:szCs w:val="24"/>
          <w:lang w:val="en-US" w:eastAsia="ru-RU"/>
        </w:rPr>
        <w:t xml:space="preserve">rowth in </w:t>
      </w:r>
      <w:r w:rsidR="00673114">
        <w:rPr>
          <w:rFonts w:ascii="Tahoma" w:eastAsia="Times New Roman" w:hAnsi="Tahoma" w:cs="Tahoma"/>
          <w:sz w:val="24"/>
          <w:szCs w:val="24"/>
          <w:lang w:val="en-US" w:eastAsia="ru-RU"/>
        </w:rPr>
        <w:t xml:space="preserve">power provided for </w:t>
      </w:r>
      <w:r w:rsidR="00D015FA" w:rsidRPr="009B372E">
        <w:rPr>
          <w:rFonts w:ascii="Tahoma" w:eastAsia="Times New Roman" w:hAnsi="Tahoma" w:cs="Tahoma"/>
          <w:sz w:val="24"/>
          <w:szCs w:val="24"/>
          <w:lang w:val="en-US" w:eastAsia="ru-RU"/>
        </w:rPr>
        <w:t xml:space="preserve">exports to China against </w:t>
      </w:r>
      <w:r w:rsidR="00D015FA">
        <w:rPr>
          <w:rFonts w:ascii="Tahoma" w:eastAsia="Times New Roman" w:hAnsi="Tahoma" w:cs="Tahoma"/>
          <w:sz w:val="24"/>
          <w:szCs w:val="24"/>
          <w:lang w:val="en-US" w:eastAsia="ru-RU"/>
        </w:rPr>
        <w:t xml:space="preserve">the </w:t>
      </w:r>
      <w:r>
        <w:rPr>
          <w:rFonts w:ascii="Tahoma" w:eastAsia="Times New Roman" w:hAnsi="Tahoma" w:cs="Tahoma"/>
          <w:sz w:val="24"/>
          <w:szCs w:val="24"/>
          <w:lang w:val="en-US" w:eastAsia="ru-RU"/>
        </w:rPr>
        <w:t>9</w:t>
      </w:r>
      <w:r w:rsidR="00D015FA">
        <w:rPr>
          <w:rFonts w:ascii="Tahoma" w:eastAsia="Times New Roman" w:hAnsi="Tahoma" w:cs="Tahoma"/>
          <w:sz w:val="24"/>
          <w:szCs w:val="24"/>
          <w:lang w:val="en-US" w:eastAsia="ru-RU"/>
        </w:rPr>
        <w:t xml:space="preserve"> months of </w:t>
      </w:r>
      <w:r w:rsidR="00D015FA" w:rsidRPr="009B372E">
        <w:rPr>
          <w:rFonts w:ascii="Tahoma" w:eastAsia="Times New Roman" w:hAnsi="Tahoma" w:cs="Tahoma"/>
          <w:sz w:val="24"/>
          <w:szCs w:val="24"/>
          <w:lang w:val="en-US" w:eastAsia="ru-RU"/>
        </w:rPr>
        <w:t>201</w:t>
      </w:r>
      <w:r w:rsidR="00D015FA">
        <w:rPr>
          <w:rFonts w:ascii="Tahoma" w:eastAsia="Times New Roman" w:hAnsi="Tahoma" w:cs="Tahoma"/>
          <w:sz w:val="24"/>
          <w:szCs w:val="24"/>
          <w:lang w:val="en-US" w:eastAsia="ru-RU"/>
        </w:rPr>
        <w:t xml:space="preserve">2, reaching </w:t>
      </w:r>
      <w:proofErr w:type="gramStart"/>
      <w:r>
        <w:rPr>
          <w:rFonts w:ascii="Tahoma" w:eastAsia="Times New Roman" w:hAnsi="Tahoma" w:cs="Tahoma"/>
          <w:sz w:val="24"/>
          <w:szCs w:val="24"/>
          <w:lang w:val="en-US" w:eastAsia="ru-RU"/>
        </w:rPr>
        <w:t>2</w:t>
      </w:r>
      <w:r w:rsidR="00646E26">
        <w:rPr>
          <w:rFonts w:ascii="Tahoma" w:eastAsia="Times New Roman" w:hAnsi="Tahoma" w:cs="Tahoma"/>
          <w:sz w:val="24"/>
          <w:szCs w:val="24"/>
          <w:lang w:val="en-US" w:eastAsia="ru-RU"/>
        </w:rPr>
        <w:t>,</w:t>
      </w:r>
      <w:r>
        <w:rPr>
          <w:rFonts w:ascii="Tahoma" w:eastAsia="Times New Roman" w:hAnsi="Tahoma" w:cs="Tahoma"/>
          <w:sz w:val="24"/>
          <w:szCs w:val="24"/>
          <w:lang w:val="en-US" w:eastAsia="ru-RU"/>
        </w:rPr>
        <w:t>7</w:t>
      </w:r>
      <w:r w:rsidR="00D015FA">
        <w:rPr>
          <w:rFonts w:ascii="Tahoma" w:eastAsia="Times New Roman" w:hAnsi="Tahoma" w:cs="Tahoma"/>
          <w:sz w:val="24"/>
          <w:szCs w:val="24"/>
          <w:lang w:val="en-US" w:eastAsia="ru-RU"/>
        </w:rPr>
        <w:t>3</w:t>
      </w:r>
      <w:r>
        <w:rPr>
          <w:rFonts w:ascii="Tahoma" w:eastAsia="Times New Roman" w:hAnsi="Tahoma" w:cs="Tahoma"/>
          <w:sz w:val="24"/>
          <w:szCs w:val="24"/>
          <w:lang w:val="en-US" w:eastAsia="ru-RU"/>
        </w:rPr>
        <w:t xml:space="preserve">3.5 </w:t>
      </w:r>
      <w:r w:rsidR="00D015FA">
        <w:rPr>
          <w:rFonts w:ascii="Tahoma" w:eastAsia="Times New Roman" w:hAnsi="Tahoma" w:cs="Tahoma"/>
          <w:sz w:val="24"/>
          <w:szCs w:val="24"/>
          <w:lang w:val="en-US" w:eastAsia="ru-RU"/>
        </w:rPr>
        <w:t xml:space="preserve"> million</w:t>
      </w:r>
      <w:proofErr w:type="gramEnd"/>
      <w:r w:rsidR="00D015FA">
        <w:rPr>
          <w:rFonts w:ascii="Tahoma" w:eastAsia="Times New Roman" w:hAnsi="Tahoma" w:cs="Tahoma"/>
          <w:sz w:val="24"/>
          <w:szCs w:val="24"/>
          <w:lang w:val="en-US" w:eastAsia="ru-RU"/>
        </w:rPr>
        <w:t xml:space="preserve"> kWh,</w:t>
      </w:r>
      <w:r w:rsidR="00D015FA" w:rsidRPr="009B372E">
        <w:rPr>
          <w:rFonts w:ascii="Tahoma" w:eastAsia="Times New Roman" w:hAnsi="Tahoma" w:cs="Tahoma"/>
          <w:sz w:val="24"/>
          <w:szCs w:val="24"/>
          <w:lang w:val="en-US" w:eastAsia="ru-RU"/>
        </w:rPr>
        <w:t xml:space="preserve"> </w:t>
      </w:r>
      <w:r w:rsidR="00D015FA">
        <w:rPr>
          <w:rFonts w:ascii="Tahoma" w:eastAsia="Times New Roman" w:hAnsi="Tahoma" w:cs="Tahoma"/>
          <w:sz w:val="24"/>
          <w:szCs w:val="24"/>
          <w:lang w:val="en-US" w:eastAsia="ru-RU"/>
        </w:rPr>
        <w:t>in accordance with the long-term contract.</w:t>
      </w:r>
    </w:p>
    <w:p w:rsidR="003C0771" w:rsidRDefault="00554CF2" w:rsidP="00BE6ECB">
      <w:pPr>
        <w:numPr>
          <w:ilvl w:val="0"/>
          <w:numId w:val="7"/>
        </w:numPr>
        <w:spacing w:before="100" w:beforeAutospacing="1" w:after="150" w:line="240" w:lineRule="auto"/>
        <w:ind w:right="75"/>
        <w:rPr>
          <w:rFonts w:ascii="Tahoma" w:hAnsi="Tahoma"/>
          <w:sz w:val="24"/>
          <w:lang w:val="en-US"/>
        </w:rPr>
      </w:pPr>
      <w:r>
        <w:rPr>
          <w:rFonts w:ascii="Tahoma" w:hAnsi="Tahoma"/>
          <w:sz w:val="24"/>
          <w:lang w:val="en-US"/>
        </w:rPr>
        <w:t>22</w:t>
      </w:r>
      <w:r w:rsidR="00D015FA">
        <w:rPr>
          <w:rFonts w:ascii="Tahoma" w:hAnsi="Tahoma"/>
          <w:sz w:val="24"/>
          <w:lang w:val="en-US"/>
        </w:rPr>
        <w:t>% increase in other revenues</w:t>
      </w:r>
      <w:r w:rsidR="005D0EAC">
        <w:rPr>
          <w:rFonts w:ascii="Tahoma" w:hAnsi="Tahoma"/>
          <w:sz w:val="24"/>
          <w:lang w:val="en-US"/>
        </w:rPr>
        <w:t xml:space="preserve"> due to increase in constructions works of JSC “Khabarovsk repairs and installation company” </w:t>
      </w:r>
      <w:r>
        <w:rPr>
          <w:rFonts w:ascii="Tahoma" w:hAnsi="Tahoma"/>
          <w:sz w:val="24"/>
          <w:lang w:val="en-US"/>
        </w:rPr>
        <w:t>and JSC “Khabarovsk repairs and con</w:t>
      </w:r>
      <w:r w:rsidR="00646262">
        <w:rPr>
          <w:rFonts w:ascii="Tahoma" w:hAnsi="Tahoma"/>
          <w:sz w:val="24"/>
          <w:lang w:val="en-US"/>
        </w:rPr>
        <w:t>s</w:t>
      </w:r>
      <w:r>
        <w:rPr>
          <w:rFonts w:ascii="Tahoma" w:hAnsi="Tahoma"/>
          <w:sz w:val="24"/>
          <w:lang w:val="en-US"/>
        </w:rPr>
        <w:t xml:space="preserve">truction company” </w:t>
      </w:r>
      <w:r w:rsidR="005D0EAC">
        <w:rPr>
          <w:rFonts w:ascii="Tahoma" w:hAnsi="Tahoma"/>
          <w:sz w:val="24"/>
          <w:lang w:val="en-US"/>
        </w:rPr>
        <w:t xml:space="preserve">under the contracts </w:t>
      </w:r>
      <w:r>
        <w:rPr>
          <w:rFonts w:ascii="Tahoma" w:hAnsi="Tahoma"/>
          <w:sz w:val="24"/>
          <w:lang w:val="en-US"/>
        </w:rPr>
        <w:t xml:space="preserve">amounting to 964 </w:t>
      </w:r>
      <w:proofErr w:type="spellStart"/>
      <w:r>
        <w:rPr>
          <w:rFonts w:ascii="Tahoma" w:hAnsi="Tahoma"/>
          <w:sz w:val="24"/>
          <w:lang w:val="en-US"/>
        </w:rPr>
        <w:t>mln</w:t>
      </w:r>
      <w:proofErr w:type="spellEnd"/>
      <w:r>
        <w:rPr>
          <w:rFonts w:ascii="Tahoma" w:hAnsi="Tahoma"/>
          <w:sz w:val="24"/>
          <w:lang w:val="en-US"/>
        </w:rPr>
        <w:t xml:space="preserve"> RUB and 274 </w:t>
      </w:r>
      <w:proofErr w:type="spellStart"/>
      <w:r>
        <w:rPr>
          <w:rFonts w:ascii="Tahoma" w:hAnsi="Tahoma"/>
          <w:sz w:val="24"/>
          <w:lang w:val="en-US"/>
        </w:rPr>
        <w:t>mln</w:t>
      </w:r>
      <w:proofErr w:type="spellEnd"/>
      <w:r>
        <w:rPr>
          <w:rFonts w:ascii="Tahoma" w:hAnsi="Tahoma"/>
          <w:sz w:val="24"/>
          <w:lang w:val="en-US"/>
        </w:rPr>
        <w:t xml:space="preserve"> RUB respectively </w:t>
      </w:r>
      <w:r w:rsidR="005D0EAC">
        <w:rPr>
          <w:rFonts w:ascii="Tahoma" w:hAnsi="Tahoma"/>
          <w:sz w:val="24"/>
          <w:lang w:val="en-US"/>
        </w:rPr>
        <w:t xml:space="preserve">with </w:t>
      </w:r>
      <w:r>
        <w:rPr>
          <w:rFonts w:ascii="Tahoma" w:hAnsi="Tahoma"/>
          <w:sz w:val="24"/>
          <w:lang w:val="en-US"/>
        </w:rPr>
        <w:t xml:space="preserve">non RAO companies, and </w:t>
      </w:r>
      <w:r w:rsidR="00F947A3">
        <w:rPr>
          <w:rFonts w:ascii="Tahoma" w:hAnsi="Tahoma"/>
          <w:sz w:val="24"/>
          <w:lang w:val="en-US"/>
        </w:rPr>
        <w:t xml:space="preserve">also as the result of fuel resale to external companies </w:t>
      </w:r>
      <w:proofErr w:type="spellStart"/>
      <w:r w:rsidR="00F947A3">
        <w:rPr>
          <w:rFonts w:ascii="Tahoma" w:hAnsi="Tahoma"/>
          <w:sz w:val="24"/>
          <w:lang w:val="en-US"/>
        </w:rPr>
        <w:t>bu</w:t>
      </w:r>
      <w:proofErr w:type="spellEnd"/>
      <w:r w:rsidR="00F947A3">
        <w:rPr>
          <w:rFonts w:ascii="Tahoma" w:hAnsi="Tahoma"/>
          <w:sz w:val="24"/>
          <w:lang w:val="en-US"/>
        </w:rPr>
        <w:t xml:space="preserve"> JSC “VOSTEK” amounting to 817 </w:t>
      </w:r>
      <w:proofErr w:type="spellStart"/>
      <w:r w:rsidR="00F947A3">
        <w:rPr>
          <w:rFonts w:ascii="Tahoma" w:hAnsi="Tahoma"/>
          <w:sz w:val="24"/>
          <w:lang w:val="en-US"/>
        </w:rPr>
        <w:t>mln</w:t>
      </w:r>
      <w:proofErr w:type="spellEnd"/>
      <w:r w:rsidR="00F947A3">
        <w:rPr>
          <w:rFonts w:ascii="Tahoma" w:hAnsi="Tahoma"/>
          <w:sz w:val="24"/>
          <w:lang w:val="en-US"/>
        </w:rPr>
        <w:t>. RUB</w:t>
      </w:r>
      <w:r w:rsidR="005D0EAC">
        <w:rPr>
          <w:rFonts w:ascii="Tahoma" w:hAnsi="Tahoma"/>
          <w:sz w:val="24"/>
          <w:lang w:val="en-US"/>
        </w:rPr>
        <w:t>.</w:t>
      </w:r>
    </w:p>
    <w:p w:rsidR="00022364" w:rsidRDefault="00646262" w:rsidP="00646262">
      <w:pPr>
        <w:numPr>
          <w:ilvl w:val="0"/>
          <w:numId w:val="7"/>
        </w:numPr>
        <w:spacing w:before="100" w:beforeAutospacing="1" w:after="150" w:line="240" w:lineRule="auto"/>
        <w:ind w:right="75"/>
        <w:rPr>
          <w:rFonts w:ascii="Tahoma" w:eastAsia="Times New Roman" w:hAnsi="Tahoma" w:cs="Tahoma"/>
          <w:sz w:val="24"/>
          <w:szCs w:val="24"/>
          <w:lang w:val="en-US" w:eastAsia="ru-RU"/>
        </w:rPr>
      </w:pPr>
      <w:r>
        <w:rPr>
          <w:rFonts w:ascii="Tahoma" w:eastAsia="Times New Roman" w:hAnsi="Tahoma" w:cs="Tahoma"/>
          <w:sz w:val="24"/>
          <w:szCs w:val="24"/>
          <w:lang w:val="en-US" w:eastAsia="ru-RU"/>
        </w:rPr>
        <w:t>11</w:t>
      </w:r>
      <w:r w:rsidR="00103635">
        <w:rPr>
          <w:rFonts w:ascii="Tahoma" w:eastAsia="Times New Roman" w:hAnsi="Tahoma" w:cs="Tahoma"/>
          <w:sz w:val="24"/>
          <w:szCs w:val="24"/>
          <w:lang w:val="en-US" w:eastAsia="ru-RU"/>
        </w:rPr>
        <w:t>.</w:t>
      </w:r>
      <w:r>
        <w:rPr>
          <w:rFonts w:ascii="Tahoma" w:eastAsia="Times New Roman" w:hAnsi="Tahoma" w:cs="Tahoma"/>
          <w:sz w:val="24"/>
          <w:szCs w:val="24"/>
          <w:lang w:val="en-US" w:eastAsia="ru-RU"/>
        </w:rPr>
        <w:t>6</w:t>
      </w:r>
      <w:r w:rsidR="00022364" w:rsidRPr="00103635">
        <w:rPr>
          <w:rFonts w:ascii="Tahoma" w:eastAsia="Times New Roman" w:hAnsi="Tahoma" w:cs="Tahoma"/>
          <w:sz w:val="24"/>
          <w:szCs w:val="24"/>
          <w:lang w:val="en-US" w:eastAsia="ru-RU"/>
        </w:rPr>
        <w:t xml:space="preserve">% growth in the average </w:t>
      </w:r>
      <w:r w:rsidR="00103635">
        <w:rPr>
          <w:rFonts w:ascii="Tahoma" w:eastAsia="Times New Roman" w:hAnsi="Tahoma" w:cs="Tahoma"/>
          <w:sz w:val="24"/>
          <w:szCs w:val="24"/>
          <w:lang w:val="en-US" w:eastAsia="ru-RU"/>
        </w:rPr>
        <w:t>electricity tariffs</w:t>
      </w:r>
      <w:r>
        <w:rPr>
          <w:rFonts w:ascii="Tahoma" w:eastAsia="Times New Roman" w:hAnsi="Tahoma" w:cs="Tahoma"/>
          <w:sz w:val="24"/>
          <w:szCs w:val="24"/>
          <w:lang w:val="en-US" w:eastAsia="ru-RU"/>
        </w:rPr>
        <w:t xml:space="preserve"> </w:t>
      </w:r>
      <w:r w:rsidRPr="00646262">
        <w:rPr>
          <w:rFonts w:ascii="Tahoma" w:eastAsia="Times New Roman" w:hAnsi="Tahoma" w:cs="Tahoma"/>
          <w:sz w:val="24"/>
          <w:szCs w:val="24"/>
          <w:lang w:val="en-US" w:eastAsia="ru-RU"/>
        </w:rPr>
        <w:t>of the power stations</w:t>
      </w:r>
      <w:r w:rsidR="00022364" w:rsidRPr="00103635">
        <w:rPr>
          <w:rFonts w:ascii="Tahoma" w:eastAsia="Times New Roman" w:hAnsi="Tahoma" w:cs="Tahoma"/>
          <w:sz w:val="24"/>
          <w:szCs w:val="24"/>
          <w:lang w:val="en-US" w:eastAsia="ru-RU"/>
        </w:rPr>
        <w:t>.</w:t>
      </w:r>
    </w:p>
    <w:p w:rsidR="00103635" w:rsidRPr="00103635" w:rsidRDefault="00103635" w:rsidP="00646262">
      <w:pPr>
        <w:numPr>
          <w:ilvl w:val="0"/>
          <w:numId w:val="7"/>
        </w:numPr>
        <w:spacing w:before="100" w:beforeAutospacing="1" w:after="150" w:line="240" w:lineRule="auto"/>
        <w:ind w:right="75"/>
        <w:rPr>
          <w:rFonts w:ascii="Tahoma" w:eastAsia="Times New Roman" w:hAnsi="Tahoma" w:cs="Tahoma"/>
          <w:sz w:val="24"/>
          <w:szCs w:val="24"/>
          <w:lang w:val="en-US" w:eastAsia="ru-RU"/>
        </w:rPr>
      </w:pPr>
      <w:r>
        <w:rPr>
          <w:rFonts w:ascii="Tahoma" w:eastAsia="Times New Roman" w:hAnsi="Tahoma" w:cs="Tahoma"/>
          <w:sz w:val="24"/>
          <w:szCs w:val="24"/>
          <w:lang w:val="en-US" w:eastAsia="ru-RU"/>
        </w:rPr>
        <w:t>4.3% growth in average heating tariffs</w:t>
      </w:r>
      <w:r w:rsidR="00646262">
        <w:rPr>
          <w:rFonts w:ascii="Tahoma" w:eastAsia="Times New Roman" w:hAnsi="Tahoma" w:cs="Tahoma"/>
          <w:sz w:val="24"/>
          <w:szCs w:val="24"/>
          <w:lang w:val="en-US" w:eastAsia="ru-RU"/>
        </w:rPr>
        <w:t xml:space="preserve"> </w:t>
      </w:r>
      <w:r w:rsidR="00646262" w:rsidRPr="00646262">
        <w:rPr>
          <w:rFonts w:ascii="Tahoma" w:eastAsia="Times New Roman" w:hAnsi="Tahoma" w:cs="Tahoma"/>
          <w:sz w:val="24"/>
          <w:szCs w:val="24"/>
          <w:lang w:val="en-US" w:eastAsia="ru-RU"/>
        </w:rPr>
        <w:t>the powers stations and boilers</w:t>
      </w:r>
      <w:r w:rsidR="00646262">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largest share of the Group's revenue </w:t>
      </w:r>
      <w:r w:rsidR="002B102A">
        <w:rPr>
          <w:rFonts w:ascii="Tahoma" w:eastAsia="Times New Roman" w:hAnsi="Tahoma" w:cs="Tahoma"/>
          <w:sz w:val="24"/>
          <w:szCs w:val="24"/>
          <w:lang w:val="en-US" w:eastAsia="ru-RU"/>
        </w:rPr>
        <w:t xml:space="preserve">for the </w:t>
      </w:r>
      <w:r w:rsidR="00F947A3">
        <w:rPr>
          <w:rFonts w:ascii="Tahoma" w:eastAsia="Times New Roman" w:hAnsi="Tahoma" w:cs="Tahoma"/>
          <w:sz w:val="24"/>
          <w:szCs w:val="24"/>
          <w:lang w:val="en-US" w:eastAsia="ru-RU"/>
        </w:rPr>
        <w:t xml:space="preserve">9 </w:t>
      </w:r>
      <w:r w:rsidR="002B102A">
        <w:rPr>
          <w:rFonts w:ascii="Tahoma" w:eastAsia="Times New Roman" w:hAnsi="Tahoma" w:cs="Tahoma"/>
          <w:sz w:val="24"/>
          <w:szCs w:val="24"/>
          <w:lang w:val="en-US" w:eastAsia="ru-RU"/>
        </w:rPr>
        <w:t xml:space="preserve">months of 2013 </w:t>
      </w:r>
      <w:r w:rsidR="00391644">
        <w:rPr>
          <w:rFonts w:ascii="Tahoma" w:eastAsia="Times New Roman" w:hAnsi="Tahoma" w:cs="Tahoma"/>
          <w:sz w:val="24"/>
          <w:szCs w:val="24"/>
          <w:lang w:val="en-US" w:eastAsia="ru-RU"/>
        </w:rPr>
        <w:t xml:space="preserve">consists of </w:t>
      </w:r>
      <w:r w:rsidRPr="00595970">
        <w:rPr>
          <w:rFonts w:ascii="Tahoma" w:eastAsia="Times New Roman" w:hAnsi="Tahoma" w:cs="Tahoma"/>
          <w:sz w:val="24"/>
          <w:szCs w:val="24"/>
          <w:lang w:val="en-US" w:eastAsia="ru-RU"/>
        </w:rPr>
        <w:t xml:space="preserve">revenue from </w:t>
      </w:r>
      <w:r w:rsidR="002F734F">
        <w:rPr>
          <w:rFonts w:ascii="Tahoma" w:eastAsia="Times New Roman" w:hAnsi="Tahoma" w:cs="Tahoma"/>
          <w:sz w:val="24"/>
          <w:szCs w:val="24"/>
          <w:lang w:val="en-US" w:eastAsia="ru-RU"/>
        </w:rPr>
        <w:t xml:space="preserve">the </w:t>
      </w:r>
      <w:r w:rsidRPr="00595970">
        <w:rPr>
          <w:rFonts w:ascii="Tahoma" w:eastAsia="Times New Roman" w:hAnsi="Tahoma" w:cs="Tahoma"/>
          <w:sz w:val="24"/>
          <w:szCs w:val="24"/>
          <w:lang w:val="en-US" w:eastAsia="ru-RU"/>
        </w:rPr>
        <w:t>sale of electricity (</w:t>
      </w:r>
      <w:r w:rsidR="00391644">
        <w:rPr>
          <w:rFonts w:ascii="Tahoma" w:eastAsia="Times New Roman" w:hAnsi="Tahoma" w:cs="Tahoma"/>
          <w:sz w:val="24"/>
          <w:szCs w:val="24"/>
          <w:lang w:val="en-US" w:eastAsia="ru-RU"/>
        </w:rPr>
        <w:t>6</w:t>
      </w:r>
      <w:r w:rsidR="00103635">
        <w:rPr>
          <w:rFonts w:ascii="Tahoma" w:eastAsia="Times New Roman" w:hAnsi="Tahoma" w:cs="Tahoma"/>
          <w:sz w:val="24"/>
          <w:szCs w:val="24"/>
          <w:lang w:val="en-US" w:eastAsia="ru-RU"/>
        </w:rPr>
        <w:t>6</w:t>
      </w:r>
      <w:r w:rsidR="002B0378" w:rsidRPr="002B0378">
        <w:rPr>
          <w:rFonts w:ascii="Tahoma" w:eastAsia="Times New Roman" w:hAnsi="Tahoma" w:cs="Tahoma"/>
          <w:sz w:val="24"/>
          <w:szCs w:val="24"/>
          <w:lang w:val="en-US" w:eastAsia="ru-RU"/>
        </w:rPr>
        <w:t>%</w:t>
      </w:r>
      <w:r w:rsidRPr="00595970">
        <w:rPr>
          <w:rFonts w:ascii="Tahoma" w:eastAsia="Times New Roman" w:hAnsi="Tahoma" w:cs="Tahoma"/>
          <w:sz w:val="24"/>
          <w:szCs w:val="24"/>
          <w:lang w:val="en-US" w:eastAsia="ru-RU"/>
        </w:rPr>
        <w:t>)</w:t>
      </w:r>
      <w:r w:rsidR="00391644">
        <w:rPr>
          <w:rFonts w:ascii="Tahoma" w:eastAsia="Times New Roman" w:hAnsi="Tahoma" w:cs="Tahoma"/>
          <w:sz w:val="24"/>
          <w:szCs w:val="24"/>
          <w:lang w:val="en-US" w:eastAsia="ru-RU"/>
        </w:rPr>
        <w:t xml:space="preserve"> and</w:t>
      </w:r>
      <w:r w:rsidR="002B0378" w:rsidRPr="002B0378">
        <w:rPr>
          <w:rFonts w:ascii="Tahoma" w:eastAsia="Times New Roman" w:hAnsi="Tahoma" w:cs="Tahoma"/>
          <w:sz w:val="24"/>
          <w:szCs w:val="24"/>
          <w:lang w:val="en-US" w:eastAsia="ru-RU"/>
        </w:rPr>
        <w:t xml:space="preserve"> </w:t>
      </w:r>
      <w:r w:rsidR="002B0378">
        <w:rPr>
          <w:rFonts w:ascii="Tahoma" w:eastAsia="Times New Roman" w:hAnsi="Tahoma" w:cs="Tahoma"/>
          <w:sz w:val="24"/>
          <w:szCs w:val="24"/>
          <w:lang w:val="en-US" w:eastAsia="ru-RU"/>
        </w:rPr>
        <w:t>h</w:t>
      </w:r>
      <w:r w:rsidR="002B0378" w:rsidRPr="002B0378">
        <w:rPr>
          <w:rFonts w:ascii="Tahoma" w:eastAsia="Times New Roman" w:hAnsi="Tahoma" w:cs="Tahoma"/>
          <w:sz w:val="24"/>
          <w:szCs w:val="24"/>
          <w:lang w:val="en-US" w:eastAsia="ru-RU"/>
        </w:rPr>
        <w:t xml:space="preserve">eat </w:t>
      </w:r>
      <w:r w:rsidR="00DA6659">
        <w:rPr>
          <w:rFonts w:ascii="Tahoma" w:eastAsia="Times New Roman" w:hAnsi="Tahoma" w:cs="Tahoma"/>
          <w:sz w:val="24"/>
          <w:szCs w:val="24"/>
          <w:lang w:val="en-US" w:eastAsia="ru-RU"/>
        </w:rPr>
        <w:t>output</w:t>
      </w:r>
      <w:r w:rsidR="002B0378">
        <w:rPr>
          <w:rFonts w:ascii="Tahoma" w:eastAsia="Times New Roman" w:hAnsi="Tahoma" w:cs="Tahoma"/>
          <w:sz w:val="24"/>
          <w:szCs w:val="24"/>
          <w:lang w:val="en-US" w:eastAsia="ru-RU"/>
        </w:rPr>
        <w:t xml:space="preserve"> (</w:t>
      </w:r>
      <w:r w:rsidR="005D0EAC">
        <w:rPr>
          <w:rFonts w:ascii="Tahoma" w:eastAsia="Times New Roman" w:hAnsi="Tahoma" w:cs="Tahoma"/>
          <w:sz w:val="24"/>
          <w:szCs w:val="24"/>
          <w:lang w:val="en-US" w:eastAsia="ru-RU"/>
        </w:rPr>
        <w:t>2</w:t>
      </w:r>
      <w:r w:rsidR="00F947A3">
        <w:rPr>
          <w:rFonts w:ascii="Tahoma" w:eastAsia="Times New Roman" w:hAnsi="Tahoma" w:cs="Tahoma"/>
          <w:sz w:val="24"/>
          <w:szCs w:val="24"/>
          <w:lang w:val="en-US" w:eastAsia="ru-RU"/>
        </w:rPr>
        <w:t>3</w:t>
      </w:r>
      <w:r w:rsidR="002B0378">
        <w:rPr>
          <w:rFonts w:ascii="Tahoma" w:eastAsia="Times New Roman" w:hAnsi="Tahoma" w:cs="Tahoma"/>
          <w:sz w:val="24"/>
          <w:szCs w:val="24"/>
          <w:lang w:val="en-US" w:eastAsia="ru-RU"/>
        </w:rPr>
        <w:t>%)</w:t>
      </w:r>
      <w:r w:rsidR="00103635">
        <w:rPr>
          <w:rFonts w:ascii="Tahoma" w:eastAsia="Times New Roman" w:hAnsi="Tahoma" w:cs="Tahoma"/>
          <w:sz w:val="24"/>
          <w:szCs w:val="24"/>
          <w:lang w:val="en-US" w:eastAsia="ru-RU"/>
        </w:rPr>
        <w:t xml:space="preserve"> which showed a 5% growth</w:t>
      </w:r>
      <w:r w:rsidR="002B0378">
        <w:rPr>
          <w:rFonts w:ascii="Tahoma" w:eastAsia="Times New Roman" w:hAnsi="Tahoma" w:cs="Tahoma"/>
          <w:sz w:val="24"/>
          <w:szCs w:val="24"/>
          <w:lang w:val="en-US" w:eastAsia="ru-RU"/>
        </w:rPr>
        <w:t xml:space="preserve">. Other revenue </w:t>
      </w:r>
      <w:r w:rsidR="00736393" w:rsidRPr="00736393">
        <w:rPr>
          <w:rFonts w:ascii="Tahoma" w:eastAsia="Times New Roman" w:hAnsi="Tahoma" w:cs="Tahoma"/>
          <w:sz w:val="24"/>
          <w:szCs w:val="24"/>
          <w:lang w:val="en-US" w:eastAsia="ru-RU"/>
        </w:rPr>
        <w:t>(</w:t>
      </w:r>
      <w:r w:rsidR="005D0EAC">
        <w:rPr>
          <w:rFonts w:ascii="Tahoma" w:eastAsia="Times New Roman" w:hAnsi="Tahoma" w:cs="Tahoma"/>
          <w:sz w:val="24"/>
          <w:szCs w:val="24"/>
          <w:lang w:val="en-US" w:eastAsia="ru-RU"/>
        </w:rPr>
        <w:t>1</w:t>
      </w:r>
      <w:r w:rsidR="00103635">
        <w:rPr>
          <w:rFonts w:ascii="Tahoma" w:eastAsia="Times New Roman" w:hAnsi="Tahoma" w:cs="Tahoma"/>
          <w:sz w:val="24"/>
          <w:szCs w:val="24"/>
          <w:lang w:val="en-US" w:eastAsia="ru-RU"/>
        </w:rPr>
        <w:t>1</w:t>
      </w:r>
      <w:r w:rsidR="00736393" w:rsidRPr="00736393">
        <w:rPr>
          <w:rFonts w:ascii="Tahoma" w:eastAsia="Times New Roman" w:hAnsi="Tahoma" w:cs="Tahoma"/>
          <w:sz w:val="24"/>
          <w:szCs w:val="24"/>
          <w:lang w:val="en-US" w:eastAsia="ru-RU"/>
        </w:rPr>
        <w:t xml:space="preserve">%) </w:t>
      </w:r>
      <w:r w:rsidR="002B0378">
        <w:rPr>
          <w:rFonts w:ascii="Tahoma" w:eastAsia="Times New Roman" w:hAnsi="Tahoma" w:cs="Tahoma"/>
          <w:sz w:val="24"/>
          <w:szCs w:val="24"/>
          <w:lang w:val="en-US" w:eastAsia="ru-RU"/>
        </w:rPr>
        <w:t>includes such items as r</w:t>
      </w:r>
      <w:r w:rsidR="002B0378" w:rsidRPr="002B0378">
        <w:rPr>
          <w:rFonts w:ascii="Tahoma" w:eastAsia="Times New Roman" w:hAnsi="Tahoma" w:cs="Tahoma"/>
          <w:sz w:val="24"/>
          <w:szCs w:val="24"/>
          <w:lang w:val="en-US" w:eastAsia="ru-RU"/>
        </w:rPr>
        <w:t>epair and construction services</w:t>
      </w:r>
      <w:r w:rsidR="002B0378">
        <w:rPr>
          <w:rFonts w:ascii="Tahoma" w:eastAsia="Times New Roman" w:hAnsi="Tahoma" w:cs="Tahoma"/>
          <w:sz w:val="24"/>
          <w:szCs w:val="24"/>
          <w:lang w:val="en-US" w:eastAsia="ru-RU"/>
        </w:rPr>
        <w:t>, t</w:t>
      </w:r>
      <w:r w:rsidR="002B0378" w:rsidRPr="002B0378">
        <w:rPr>
          <w:rFonts w:ascii="Tahoma" w:eastAsia="Times New Roman" w:hAnsi="Tahoma" w:cs="Tahoma"/>
          <w:sz w:val="24"/>
          <w:szCs w:val="24"/>
          <w:lang w:val="en-US" w:eastAsia="ru-RU"/>
        </w:rPr>
        <w:t>echnological connection</w:t>
      </w:r>
      <w:r w:rsidR="002B0378">
        <w:rPr>
          <w:rFonts w:ascii="Tahoma" w:eastAsia="Times New Roman" w:hAnsi="Tahoma" w:cs="Tahoma"/>
          <w:sz w:val="24"/>
          <w:szCs w:val="24"/>
          <w:lang w:val="en-US" w:eastAsia="ru-RU"/>
        </w:rPr>
        <w:t>, as well as</w:t>
      </w:r>
      <w:r w:rsidR="002B0378" w:rsidRPr="002B0378">
        <w:rPr>
          <w:lang w:val="en-US"/>
        </w:rPr>
        <w:t xml:space="preserve"> </w:t>
      </w:r>
      <w:r w:rsidR="00391644">
        <w:rPr>
          <w:rFonts w:ascii="Tahoma" w:eastAsia="Times New Roman" w:hAnsi="Tahoma" w:cs="Tahoma"/>
          <w:sz w:val="24"/>
          <w:szCs w:val="24"/>
          <w:lang w:val="en-US" w:eastAsia="ru-RU"/>
        </w:rPr>
        <w:t>revenue from rentals</w:t>
      </w:r>
      <w:r w:rsidR="002B0378" w:rsidRPr="002B0378">
        <w:rPr>
          <w:rFonts w:ascii="Tahoma" w:eastAsia="Times New Roman" w:hAnsi="Tahoma" w:cs="Tahoma"/>
          <w:sz w:val="24"/>
          <w:szCs w:val="24"/>
          <w:lang w:val="en-US" w:eastAsia="ru-RU"/>
        </w:rPr>
        <w:t>, transportation and communication services</w:t>
      </w:r>
      <w:r w:rsidR="002B0378">
        <w:rPr>
          <w:rFonts w:ascii="Tahoma" w:eastAsia="Times New Roman" w:hAnsi="Tahoma" w:cs="Tahoma"/>
          <w:sz w:val="24"/>
          <w:szCs w:val="24"/>
          <w:lang w:val="en-US" w:eastAsia="ru-RU"/>
        </w:rPr>
        <w:t>.</w:t>
      </w:r>
      <w:r w:rsidR="00103635">
        <w:rPr>
          <w:rFonts w:ascii="Tahoma" w:eastAsia="Times New Roman" w:hAnsi="Tahoma" w:cs="Tahoma"/>
          <w:sz w:val="24"/>
          <w:szCs w:val="24"/>
          <w:lang w:val="en-US" w:eastAsia="ru-RU"/>
        </w:rPr>
        <w:t xml:space="preserve"> Government grants showed a 9% increase.</w:t>
      </w:r>
    </w:p>
    <w:p w:rsidR="00595970" w:rsidRDefault="00595970" w:rsidP="00595970">
      <w:pPr>
        <w:spacing w:after="0" w:line="240" w:lineRule="auto"/>
        <w:jc w:val="both"/>
        <w:rPr>
          <w:rFonts w:ascii="Tahoma" w:eastAsia="Times New Roman" w:hAnsi="Tahoma" w:cs="Tahoma"/>
          <w:sz w:val="24"/>
          <w:szCs w:val="24"/>
          <w:lang w:val="en-US" w:eastAsia="ru-RU"/>
        </w:rPr>
      </w:pPr>
    </w:p>
    <w:p w:rsidR="002F6345" w:rsidRPr="00595970" w:rsidRDefault="006B1843"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b/>
          <w:sz w:val="24"/>
          <w:szCs w:val="24"/>
          <w:lang w:val="en-US" w:eastAsia="ru-RU"/>
        </w:rPr>
        <w:t>Revenue S</w:t>
      </w:r>
      <w:r w:rsidR="002B0378" w:rsidRPr="002B0378">
        <w:rPr>
          <w:rFonts w:ascii="Tahoma" w:eastAsia="Times New Roman" w:hAnsi="Tahoma" w:cs="Tahoma"/>
          <w:b/>
          <w:sz w:val="24"/>
          <w:szCs w:val="24"/>
          <w:lang w:val="en-US" w:eastAsia="ru-RU"/>
        </w:rPr>
        <w:t>tructure</w:t>
      </w:r>
      <w:r w:rsidR="002B0378">
        <w:rPr>
          <w:rFonts w:ascii="Tahoma" w:eastAsia="Times New Roman" w:hAnsi="Tahoma" w:cs="Tahoma"/>
          <w:sz w:val="24"/>
          <w:szCs w:val="24"/>
          <w:lang w:val="en-US" w:eastAsia="ru-RU"/>
        </w:rPr>
        <w:t xml:space="preserve"> (</w:t>
      </w:r>
      <w:r w:rsidR="00881F01" w:rsidRPr="00881F01">
        <w:rPr>
          <w:rFonts w:ascii="Tahoma" w:eastAsia="Times New Roman" w:hAnsi="Tahoma" w:cs="Tahoma"/>
          <w:bCs/>
          <w:i/>
          <w:sz w:val="24"/>
          <w:szCs w:val="24"/>
          <w:lang w:val="en-US" w:eastAsia="ru-RU"/>
        </w:rPr>
        <w:t>RUB</w:t>
      </w:r>
      <w:r w:rsidR="00881F01">
        <w:rPr>
          <w:rFonts w:ascii="Tahoma" w:eastAsia="Times New Roman" w:hAnsi="Tahoma" w:cs="Tahoma"/>
          <w:bCs/>
          <w:i/>
          <w:sz w:val="24"/>
          <w:szCs w:val="24"/>
          <w:lang w:val="en-US" w:eastAsia="ru-RU"/>
        </w:rPr>
        <w:t xml:space="preserve"> in</w:t>
      </w:r>
      <w:r w:rsidR="00881F01" w:rsidRPr="00881F01">
        <w:rPr>
          <w:rFonts w:ascii="Tahoma" w:eastAsia="Times New Roman" w:hAnsi="Tahoma" w:cs="Tahoma"/>
          <w:bCs/>
          <w:i/>
          <w:sz w:val="24"/>
          <w:szCs w:val="24"/>
          <w:lang w:val="en-US" w:eastAsia="ru-RU"/>
        </w:rPr>
        <w:t xml:space="preserve"> millions</w:t>
      </w:r>
      <w:r w:rsidR="002B0378">
        <w:rPr>
          <w:rFonts w:ascii="Tahoma" w:eastAsia="Times New Roman" w:hAnsi="Tahoma" w:cs="Tahoma"/>
          <w:sz w:val="24"/>
          <w:szCs w:val="24"/>
          <w:lang w:val="en-US" w:eastAsia="ru-RU"/>
        </w:rPr>
        <w:t>)</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844"/>
        <w:gridCol w:w="1701"/>
        <w:gridCol w:w="1559"/>
      </w:tblGrid>
      <w:tr w:rsidR="00103635" w:rsidRPr="00595970" w:rsidTr="0080790F">
        <w:tc>
          <w:tcPr>
            <w:tcW w:w="2233" w:type="pct"/>
            <w:tcMar>
              <w:top w:w="0" w:type="dxa"/>
              <w:left w:w="150" w:type="dxa"/>
              <w:bottom w:w="0" w:type="dxa"/>
              <w:right w:w="150" w:type="dxa"/>
            </w:tcMar>
            <w:hideMark/>
          </w:tcPr>
          <w:p w:rsidR="00103635" w:rsidRPr="00595970" w:rsidRDefault="00103635" w:rsidP="00595970">
            <w:pPr>
              <w:spacing w:after="0" w:line="240" w:lineRule="auto"/>
              <w:jc w:val="center"/>
              <w:rPr>
                <w:rFonts w:ascii="Tahoma" w:eastAsia="Times New Roman" w:hAnsi="Tahoma" w:cs="Tahoma"/>
                <w:color w:val="51657E"/>
                <w:sz w:val="24"/>
                <w:szCs w:val="24"/>
                <w:lang w:val="en-US" w:eastAsia="ru-RU"/>
              </w:rPr>
            </w:pPr>
          </w:p>
        </w:tc>
        <w:tc>
          <w:tcPr>
            <w:tcW w:w="1000" w:type="pct"/>
            <w:tcMar>
              <w:top w:w="0" w:type="dxa"/>
              <w:left w:w="150" w:type="dxa"/>
              <w:bottom w:w="0" w:type="dxa"/>
              <w:right w:w="150" w:type="dxa"/>
            </w:tcMar>
            <w:hideMark/>
          </w:tcPr>
          <w:p w:rsidR="00103635" w:rsidRPr="00305588" w:rsidRDefault="00103635" w:rsidP="006713B9">
            <w:pPr>
              <w:spacing w:after="0" w:line="240" w:lineRule="auto"/>
              <w:rPr>
                <w:rFonts w:ascii="Tahoma" w:eastAsia="Times New Roman" w:hAnsi="Tahoma" w:cs="Tahoma"/>
                <w:b/>
                <w:color w:val="000000"/>
                <w:sz w:val="24"/>
                <w:szCs w:val="24"/>
                <w:lang w:val="en-US" w:eastAsia="ru-RU"/>
              </w:rPr>
            </w:pPr>
            <w:r>
              <w:rPr>
                <w:rFonts w:ascii="Tahoma" w:eastAsia="Times New Roman" w:hAnsi="Tahoma" w:cs="Tahoma"/>
                <w:b/>
                <w:color w:val="000000"/>
                <w:sz w:val="24"/>
                <w:szCs w:val="24"/>
                <w:lang w:val="en-US" w:eastAsia="ru-RU"/>
              </w:rPr>
              <w:t xml:space="preserve">9 </w:t>
            </w:r>
            <w:r w:rsidRPr="00305588">
              <w:rPr>
                <w:rFonts w:ascii="Tahoma" w:eastAsia="Times New Roman" w:hAnsi="Tahoma" w:cs="Tahoma"/>
                <w:b/>
                <w:color w:val="000000"/>
                <w:sz w:val="24"/>
                <w:szCs w:val="24"/>
                <w:lang w:val="en-US" w:eastAsia="ru-RU"/>
              </w:rPr>
              <w:t>m</w:t>
            </w:r>
            <w:r>
              <w:rPr>
                <w:rFonts w:ascii="Tahoma" w:eastAsia="Times New Roman" w:hAnsi="Tahoma" w:cs="Tahoma"/>
                <w:b/>
                <w:color w:val="000000"/>
                <w:sz w:val="24"/>
                <w:szCs w:val="24"/>
                <w:lang w:val="en-US" w:eastAsia="ru-RU"/>
              </w:rPr>
              <w:t>onths</w:t>
            </w:r>
            <w:r w:rsidRPr="00305588">
              <w:rPr>
                <w:rFonts w:ascii="Tahoma" w:eastAsia="Times New Roman" w:hAnsi="Tahoma" w:cs="Tahoma"/>
                <w:b/>
                <w:color w:val="000000"/>
                <w:sz w:val="24"/>
                <w:szCs w:val="24"/>
                <w:lang w:val="en-US" w:eastAsia="ru-RU"/>
              </w:rPr>
              <w:t xml:space="preserve"> </w:t>
            </w:r>
            <w:r>
              <w:rPr>
                <w:rFonts w:ascii="Tahoma" w:eastAsia="Times New Roman" w:hAnsi="Tahoma" w:cs="Tahoma"/>
                <w:b/>
                <w:color w:val="000000"/>
                <w:sz w:val="24"/>
                <w:szCs w:val="24"/>
                <w:lang w:val="en-US" w:eastAsia="ru-RU"/>
              </w:rPr>
              <w:t>ended September 30, 2013</w:t>
            </w:r>
          </w:p>
        </w:tc>
        <w:tc>
          <w:tcPr>
            <w:tcW w:w="922" w:type="pct"/>
            <w:tcMar>
              <w:top w:w="0" w:type="dxa"/>
              <w:left w:w="150" w:type="dxa"/>
              <w:bottom w:w="0" w:type="dxa"/>
              <w:right w:w="150" w:type="dxa"/>
            </w:tcMar>
            <w:hideMark/>
          </w:tcPr>
          <w:p w:rsidR="00103635" w:rsidRPr="00305588" w:rsidRDefault="00103635" w:rsidP="006713B9">
            <w:pPr>
              <w:spacing w:after="0" w:line="240" w:lineRule="auto"/>
              <w:rPr>
                <w:rFonts w:ascii="Tahoma" w:eastAsia="Times New Roman" w:hAnsi="Tahoma" w:cs="Tahoma"/>
                <w:b/>
                <w:color w:val="000000"/>
                <w:sz w:val="24"/>
                <w:szCs w:val="24"/>
                <w:lang w:val="en-US" w:eastAsia="ru-RU"/>
              </w:rPr>
            </w:pPr>
            <w:r w:rsidRPr="00581A64">
              <w:rPr>
                <w:rFonts w:ascii="Tahoma" w:eastAsia="Times New Roman" w:hAnsi="Tahoma" w:cs="Tahoma"/>
                <w:b/>
                <w:color w:val="000000"/>
                <w:sz w:val="24"/>
                <w:szCs w:val="24"/>
                <w:lang w:val="en-US" w:eastAsia="ru-RU"/>
              </w:rPr>
              <w:t>9</w:t>
            </w:r>
            <w:r>
              <w:rPr>
                <w:rFonts w:ascii="Tahoma" w:eastAsia="Times New Roman" w:hAnsi="Tahoma" w:cs="Tahoma"/>
                <w:b/>
                <w:color w:val="000000"/>
                <w:sz w:val="24"/>
                <w:szCs w:val="24"/>
                <w:lang w:val="en-US" w:eastAsia="ru-RU"/>
              </w:rPr>
              <w:t xml:space="preserve"> </w:t>
            </w:r>
            <w:r w:rsidRPr="00581A64">
              <w:rPr>
                <w:rFonts w:ascii="Tahoma" w:eastAsia="Times New Roman" w:hAnsi="Tahoma" w:cs="Tahoma"/>
                <w:b/>
                <w:color w:val="000000"/>
                <w:sz w:val="24"/>
                <w:szCs w:val="24"/>
                <w:lang w:val="en-US" w:eastAsia="ru-RU"/>
              </w:rPr>
              <w:t xml:space="preserve">months ended September 30, </w:t>
            </w:r>
            <w:r w:rsidRPr="00305588">
              <w:rPr>
                <w:rFonts w:ascii="Tahoma" w:eastAsia="Times New Roman" w:hAnsi="Tahoma" w:cs="Tahoma"/>
                <w:b/>
                <w:color w:val="000000"/>
                <w:sz w:val="24"/>
                <w:szCs w:val="24"/>
                <w:lang w:val="en-US" w:eastAsia="ru-RU"/>
              </w:rPr>
              <w:t>201</w:t>
            </w:r>
            <w:r>
              <w:rPr>
                <w:rFonts w:ascii="Tahoma" w:eastAsia="Times New Roman" w:hAnsi="Tahoma" w:cs="Tahoma"/>
                <w:b/>
                <w:color w:val="000000"/>
                <w:sz w:val="24"/>
                <w:szCs w:val="24"/>
                <w:lang w:val="en-US" w:eastAsia="ru-RU"/>
              </w:rPr>
              <w:t>2</w:t>
            </w:r>
          </w:p>
        </w:tc>
        <w:tc>
          <w:tcPr>
            <w:tcW w:w="845" w:type="pct"/>
            <w:tcMar>
              <w:top w:w="0" w:type="dxa"/>
              <w:left w:w="150" w:type="dxa"/>
              <w:bottom w:w="0" w:type="dxa"/>
              <w:right w:w="150" w:type="dxa"/>
            </w:tcMar>
            <w:hideMark/>
          </w:tcPr>
          <w:p w:rsidR="00103635" w:rsidRPr="00305588" w:rsidRDefault="00103635" w:rsidP="0051363B">
            <w:pPr>
              <w:spacing w:after="0" w:line="240" w:lineRule="auto"/>
              <w:rPr>
                <w:rFonts w:ascii="Tahoma" w:eastAsia="Times New Roman" w:hAnsi="Tahoma" w:cs="Tahoma"/>
                <w:color w:val="000000"/>
                <w:sz w:val="24"/>
                <w:szCs w:val="24"/>
                <w:lang w:val="en-US" w:eastAsia="ru-RU"/>
              </w:rPr>
            </w:pPr>
            <w:r w:rsidRPr="00305588">
              <w:rPr>
                <w:rFonts w:ascii="Tahoma" w:eastAsia="Times New Roman" w:hAnsi="Tahoma" w:cs="Tahoma"/>
                <w:color w:val="000000"/>
                <w:sz w:val="24"/>
                <w:szCs w:val="24"/>
                <w:lang w:val="en-US" w:eastAsia="ru-RU"/>
              </w:rPr>
              <w:t xml:space="preserve">% Change </w:t>
            </w:r>
          </w:p>
          <w:p w:rsidR="00103635" w:rsidRPr="002B0378" w:rsidRDefault="00103635" w:rsidP="00BF08A5">
            <w:pPr>
              <w:spacing w:after="0" w:line="240" w:lineRule="auto"/>
              <w:jc w:val="center"/>
              <w:rPr>
                <w:rFonts w:ascii="Tahoma" w:eastAsia="Times New Roman" w:hAnsi="Tahoma" w:cs="Tahoma"/>
                <w:color w:val="000000"/>
                <w:sz w:val="24"/>
                <w:szCs w:val="24"/>
                <w:lang w:val="en-US" w:eastAsia="ru-RU"/>
              </w:rPr>
            </w:pPr>
            <w:r w:rsidRPr="00305588">
              <w:rPr>
                <w:rFonts w:ascii="Tahoma" w:eastAsia="Times New Roman" w:hAnsi="Tahoma" w:cs="Tahoma"/>
                <w:color w:val="000000"/>
                <w:sz w:val="24"/>
                <w:szCs w:val="24"/>
                <w:lang w:val="en-US" w:eastAsia="ru-RU"/>
              </w:rPr>
              <w:t>y-o-y</w:t>
            </w:r>
          </w:p>
        </w:tc>
      </w:tr>
      <w:tr w:rsidR="00103635" w:rsidRPr="00595970" w:rsidTr="0080790F">
        <w:tc>
          <w:tcPr>
            <w:tcW w:w="2233" w:type="pct"/>
            <w:tcMar>
              <w:top w:w="0" w:type="dxa"/>
              <w:left w:w="150" w:type="dxa"/>
              <w:bottom w:w="0" w:type="dxa"/>
              <w:right w:w="150" w:type="dxa"/>
            </w:tcMar>
            <w:hideMark/>
          </w:tcPr>
          <w:p w:rsidR="00103635" w:rsidRPr="00595970" w:rsidRDefault="00103635" w:rsidP="002F734F">
            <w:pPr>
              <w:spacing w:after="0" w:line="240" w:lineRule="auto"/>
              <w:rPr>
                <w:rFonts w:ascii="Tahoma" w:eastAsia="Times New Roman" w:hAnsi="Tahoma" w:cs="Tahoma"/>
                <w:color w:val="51657E"/>
                <w:sz w:val="24"/>
                <w:szCs w:val="24"/>
                <w:lang w:val="en-US" w:eastAsia="ru-RU"/>
              </w:rPr>
            </w:pPr>
            <w:r w:rsidRPr="00595970">
              <w:rPr>
                <w:rFonts w:ascii="Tahoma" w:eastAsia="Times New Roman" w:hAnsi="Tahoma" w:cs="Tahoma"/>
                <w:color w:val="000000"/>
                <w:sz w:val="24"/>
                <w:szCs w:val="24"/>
                <w:lang w:val="en-US" w:eastAsia="ru-RU"/>
              </w:rPr>
              <w:t>Sale of electricity</w:t>
            </w:r>
            <w:r>
              <w:rPr>
                <w:rFonts w:ascii="Tahoma" w:eastAsia="Times New Roman" w:hAnsi="Tahoma" w:cs="Tahoma"/>
                <w:color w:val="000000"/>
                <w:sz w:val="24"/>
                <w:szCs w:val="24"/>
                <w:lang w:val="en-US" w:eastAsia="ru-RU"/>
              </w:rPr>
              <w:t xml:space="preserve"> and </w:t>
            </w:r>
            <w:r w:rsidRPr="00DA6659">
              <w:rPr>
                <w:rFonts w:ascii="Tahoma" w:eastAsia="Times New Roman" w:hAnsi="Tahoma" w:cs="Tahoma"/>
                <w:color w:val="000000"/>
                <w:sz w:val="24"/>
                <w:szCs w:val="24"/>
                <w:lang w:val="en-US" w:eastAsia="ru-RU"/>
              </w:rPr>
              <w:t>capacity</w:t>
            </w:r>
          </w:p>
        </w:tc>
        <w:tc>
          <w:tcPr>
            <w:tcW w:w="1000" w:type="pct"/>
            <w:tcMar>
              <w:top w:w="0" w:type="dxa"/>
              <w:left w:w="150" w:type="dxa"/>
              <w:bottom w:w="0" w:type="dxa"/>
              <w:right w:w="150" w:type="dxa"/>
            </w:tcMar>
            <w:vAlign w:val="center"/>
            <w:hideMark/>
          </w:tcPr>
          <w:p w:rsidR="00103635" w:rsidRPr="004D0D6F" w:rsidRDefault="00103635" w:rsidP="00A934E3">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63</w:t>
            </w:r>
            <w:r w:rsidR="00A934E3">
              <w:rPr>
                <w:rFonts w:ascii="Tahoma" w:eastAsia="Times New Roman" w:hAnsi="Tahoma" w:cs="Tahoma"/>
                <w:color w:val="000000"/>
                <w:lang w:val="en-US" w:eastAsia="ru-RU"/>
              </w:rPr>
              <w:t>,</w:t>
            </w:r>
            <w:r w:rsidRPr="004D0D6F">
              <w:rPr>
                <w:rFonts w:ascii="Tahoma" w:eastAsia="Times New Roman" w:hAnsi="Tahoma" w:cs="Tahoma"/>
                <w:color w:val="000000"/>
                <w:lang w:eastAsia="ru-RU"/>
              </w:rPr>
              <w:t>801</w:t>
            </w:r>
          </w:p>
        </w:tc>
        <w:tc>
          <w:tcPr>
            <w:tcW w:w="922" w:type="pct"/>
            <w:tcMar>
              <w:top w:w="0" w:type="dxa"/>
              <w:left w:w="150" w:type="dxa"/>
              <w:bottom w:w="0" w:type="dxa"/>
              <w:right w:w="150" w:type="dxa"/>
            </w:tcMar>
            <w:vAlign w:val="center"/>
          </w:tcPr>
          <w:p w:rsidR="00103635" w:rsidRPr="004D0D6F" w:rsidRDefault="00103635" w:rsidP="00A934E3">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60</w:t>
            </w:r>
            <w:r w:rsidR="00A934E3">
              <w:rPr>
                <w:rFonts w:ascii="Tahoma" w:eastAsia="Times New Roman" w:hAnsi="Tahoma" w:cs="Tahoma"/>
                <w:color w:val="000000"/>
                <w:lang w:val="en-US" w:eastAsia="ru-RU"/>
              </w:rPr>
              <w:t>,</w:t>
            </w:r>
            <w:r w:rsidRPr="004D0D6F">
              <w:rPr>
                <w:rFonts w:ascii="Tahoma" w:eastAsia="Times New Roman" w:hAnsi="Tahoma" w:cs="Tahoma"/>
                <w:color w:val="000000"/>
                <w:lang w:eastAsia="ru-RU"/>
              </w:rPr>
              <w:t>917</w:t>
            </w:r>
          </w:p>
        </w:tc>
        <w:tc>
          <w:tcPr>
            <w:tcW w:w="845" w:type="pct"/>
            <w:tcMar>
              <w:top w:w="0" w:type="dxa"/>
              <w:left w:w="150" w:type="dxa"/>
              <w:bottom w:w="0" w:type="dxa"/>
              <w:right w:w="150" w:type="dxa"/>
            </w:tcMar>
            <w:vAlign w:val="center"/>
          </w:tcPr>
          <w:p w:rsidR="00103635" w:rsidRPr="004D0D6F" w:rsidRDefault="00103635"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w:t>
            </w:r>
          </w:p>
        </w:tc>
      </w:tr>
      <w:tr w:rsidR="00103635" w:rsidRPr="00595970" w:rsidTr="0080790F">
        <w:tc>
          <w:tcPr>
            <w:tcW w:w="2233" w:type="pct"/>
            <w:tcMar>
              <w:top w:w="0" w:type="dxa"/>
              <w:left w:w="150" w:type="dxa"/>
              <w:bottom w:w="0" w:type="dxa"/>
              <w:right w:w="150" w:type="dxa"/>
            </w:tcMar>
          </w:tcPr>
          <w:p w:rsidR="00103635" w:rsidRPr="00595970" w:rsidRDefault="00103635" w:rsidP="002F734F">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H</w:t>
            </w:r>
            <w:r w:rsidRPr="002B0378">
              <w:rPr>
                <w:rFonts w:ascii="Tahoma" w:eastAsia="Times New Roman" w:hAnsi="Tahoma" w:cs="Tahoma"/>
                <w:color w:val="000000"/>
                <w:sz w:val="24"/>
                <w:szCs w:val="24"/>
                <w:lang w:val="en-US" w:eastAsia="ru-RU"/>
              </w:rPr>
              <w:t>eat sales</w:t>
            </w:r>
          </w:p>
        </w:tc>
        <w:tc>
          <w:tcPr>
            <w:tcW w:w="1000" w:type="pct"/>
            <w:tcMar>
              <w:top w:w="0" w:type="dxa"/>
              <w:left w:w="150" w:type="dxa"/>
              <w:bottom w:w="0" w:type="dxa"/>
              <w:right w:w="150" w:type="dxa"/>
            </w:tcMar>
            <w:vAlign w:val="center"/>
          </w:tcPr>
          <w:p w:rsidR="00103635" w:rsidRPr="004D0D6F" w:rsidRDefault="00103635" w:rsidP="00A934E3">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21</w:t>
            </w:r>
            <w:r w:rsidR="00A934E3">
              <w:rPr>
                <w:rFonts w:ascii="Tahoma" w:eastAsia="Times New Roman" w:hAnsi="Tahoma" w:cs="Tahoma"/>
                <w:color w:val="000000"/>
                <w:lang w:val="en-US" w:eastAsia="ru-RU"/>
              </w:rPr>
              <w:t>,</w:t>
            </w:r>
            <w:r>
              <w:rPr>
                <w:rFonts w:ascii="Tahoma" w:eastAsia="Times New Roman" w:hAnsi="Tahoma" w:cs="Tahoma"/>
                <w:color w:val="000000"/>
                <w:lang w:eastAsia="ru-RU"/>
              </w:rPr>
              <w:t>891</w:t>
            </w:r>
          </w:p>
        </w:tc>
        <w:tc>
          <w:tcPr>
            <w:tcW w:w="922" w:type="pct"/>
            <w:tcMar>
              <w:top w:w="0" w:type="dxa"/>
              <w:left w:w="150" w:type="dxa"/>
              <w:bottom w:w="0" w:type="dxa"/>
              <w:right w:w="150" w:type="dxa"/>
            </w:tcMar>
            <w:vAlign w:val="center"/>
          </w:tcPr>
          <w:p w:rsidR="00103635" w:rsidRPr="00D318C0" w:rsidRDefault="00103635" w:rsidP="00A934E3">
            <w:pPr>
              <w:spacing w:after="0" w:line="240" w:lineRule="auto"/>
              <w:jc w:val="center"/>
              <w:rPr>
                <w:rFonts w:ascii="Tahoma" w:eastAsia="Times New Roman" w:hAnsi="Tahoma" w:cs="Tahoma"/>
                <w:color w:val="000000"/>
                <w:lang w:eastAsia="ru-RU"/>
              </w:rPr>
            </w:pPr>
            <w:r w:rsidRPr="00D318C0">
              <w:rPr>
                <w:rFonts w:ascii="Tahoma" w:eastAsia="Times New Roman" w:hAnsi="Tahoma" w:cs="Tahoma"/>
                <w:color w:val="000000"/>
                <w:lang w:eastAsia="ru-RU"/>
              </w:rPr>
              <w:t>20</w:t>
            </w:r>
            <w:r w:rsidR="00A934E3">
              <w:rPr>
                <w:rFonts w:ascii="Tahoma" w:eastAsia="Times New Roman" w:hAnsi="Tahoma" w:cs="Tahoma"/>
                <w:color w:val="000000"/>
                <w:lang w:val="en-US" w:eastAsia="ru-RU"/>
              </w:rPr>
              <w:t>,</w:t>
            </w:r>
            <w:r>
              <w:rPr>
                <w:rFonts w:ascii="Tahoma" w:eastAsia="Times New Roman" w:hAnsi="Tahoma" w:cs="Tahoma"/>
                <w:color w:val="000000"/>
                <w:lang w:eastAsia="ru-RU"/>
              </w:rPr>
              <w:t>948</w:t>
            </w:r>
          </w:p>
        </w:tc>
        <w:tc>
          <w:tcPr>
            <w:tcW w:w="845" w:type="pct"/>
            <w:tcMar>
              <w:top w:w="0" w:type="dxa"/>
              <w:left w:w="150" w:type="dxa"/>
              <w:bottom w:w="0" w:type="dxa"/>
              <w:right w:w="150" w:type="dxa"/>
            </w:tcMar>
            <w:vAlign w:val="center"/>
          </w:tcPr>
          <w:p w:rsidR="00103635" w:rsidRPr="00D318C0" w:rsidRDefault="00103635" w:rsidP="006713B9">
            <w:pPr>
              <w:spacing w:after="0" w:line="240" w:lineRule="auto"/>
              <w:jc w:val="center"/>
              <w:rPr>
                <w:rFonts w:ascii="Tahoma" w:eastAsia="Times New Roman" w:hAnsi="Tahoma" w:cs="Tahoma"/>
                <w:color w:val="000000"/>
                <w:lang w:eastAsia="ru-RU"/>
              </w:rPr>
            </w:pPr>
            <w:r w:rsidRPr="00D318C0">
              <w:rPr>
                <w:rFonts w:ascii="Tahoma" w:eastAsia="Times New Roman" w:hAnsi="Tahoma" w:cs="Tahoma"/>
                <w:color w:val="000000"/>
                <w:lang w:eastAsia="ru-RU"/>
              </w:rPr>
              <w:t>5%</w:t>
            </w:r>
          </w:p>
        </w:tc>
      </w:tr>
      <w:tr w:rsidR="00103635" w:rsidRPr="00595970" w:rsidTr="0080790F">
        <w:tc>
          <w:tcPr>
            <w:tcW w:w="2233" w:type="pct"/>
            <w:tcMar>
              <w:top w:w="0" w:type="dxa"/>
              <w:left w:w="150" w:type="dxa"/>
              <w:bottom w:w="0" w:type="dxa"/>
              <w:right w:w="150" w:type="dxa"/>
            </w:tcMar>
            <w:hideMark/>
          </w:tcPr>
          <w:p w:rsidR="00103635" w:rsidRPr="002F734F" w:rsidRDefault="00103635" w:rsidP="006713B9">
            <w:pPr>
              <w:spacing w:after="0" w:line="240" w:lineRule="auto"/>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Other revenue</w:t>
            </w:r>
          </w:p>
        </w:tc>
        <w:tc>
          <w:tcPr>
            <w:tcW w:w="1000" w:type="pct"/>
            <w:tcMar>
              <w:top w:w="0" w:type="dxa"/>
              <w:left w:w="150" w:type="dxa"/>
              <w:bottom w:w="0" w:type="dxa"/>
              <w:right w:w="150" w:type="dxa"/>
            </w:tcMar>
            <w:vAlign w:val="center"/>
          </w:tcPr>
          <w:p w:rsidR="00103635" w:rsidRPr="004D0D6F" w:rsidRDefault="00103635" w:rsidP="00A934E3">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11</w:t>
            </w:r>
            <w:r w:rsidR="00A934E3">
              <w:rPr>
                <w:rFonts w:ascii="Tahoma" w:eastAsia="Times New Roman" w:hAnsi="Tahoma" w:cs="Tahoma"/>
                <w:color w:val="000000"/>
                <w:lang w:val="en-US" w:eastAsia="ru-RU"/>
              </w:rPr>
              <w:t>,</w:t>
            </w:r>
            <w:r>
              <w:rPr>
                <w:rFonts w:ascii="Tahoma" w:eastAsia="Times New Roman" w:hAnsi="Tahoma" w:cs="Tahoma"/>
                <w:color w:val="000000"/>
                <w:lang w:eastAsia="ru-RU"/>
              </w:rPr>
              <w:t>003</w:t>
            </w:r>
          </w:p>
        </w:tc>
        <w:tc>
          <w:tcPr>
            <w:tcW w:w="922" w:type="pct"/>
            <w:tcMar>
              <w:top w:w="0" w:type="dxa"/>
              <w:left w:w="150" w:type="dxa"/>
              <w:bottom w:w="0" w:type="dxa"/>
              <w:right w:w="150" w:type="dxa"/>
            </w:tcMar>
            <w:vAlign w:val="center"/>
          </w:tcPr>
          <w:p w:rsidR="00103635" w:rsidRPr="00D318C0" w:rsidRDefault="00103635" w:rsidP="00A934E3">
            <w:pPr>
              <w:spacing w:after="0" w:line="240" w:lineRule="auto"/>
              <w:jc w:val="center"/>
              <w:rPr>
                <w:rFonts w:ascii="Tahoma" w:eastAsia="Times New Roman" w:hAnsi="Tahoma" w:cs="Tahoma"/>
                <w:color w:val="000000"/>
                <w:lang w:eastAsia="ru-RU"/>
              </w:rPr>
            </w:pPr>
            <w:r>
              <w:rPr>
                <w:rFonts w:ascii="Tahoma" w:eastAsia="Times New Roman" w:hAnsi="Tahoma" w:cs="Tahoma"/>
                <w:color w:val="000000"/>
                <w:lang w:eastAsia="ru-RU"/>
              </w:rPr>
              <w:t>8</w:t>
            </w:r>
            <w:r w:rsidR="00A934E3">
              <w:rPr>
                <w:rFonts w:ascii="Tahoma" w:eastAsia="Times New Roman" w:hAnsi="Tahoma" w:cs="Tahoma"/>
                <w:color w:val="000000"/>
                <w:lang w:val="en-US" w:eastAsia="ru-RU"/>
              </w:rPr>
              <w:t>,</w:t>
            </w:r>
            <w:r>
              <w:rPr>
                <w:rFonts w:ascii="Tahoma" w:eastAsia="Times New Roman" w:hAnsi="Tahoma" w:cs="Tahoma"/>
                <w:color w:val="000000"/>
                <w:lang w:eastAsia="ru-RU"/>
              </w:rPr>
              <w:t>985</w:t>
            </w:r>
          </w:p>
        </w:tc>
        <w:tc>
          <w:tcPr>
            <w:tcW w:w="845" w:type="pct"/>
            <w:tcMar>
              <w:top w:w="0" w:type="dxa"/>
              <w:left w:w="150" w:type="dxa"/>
              <w:bottom w:w="0" w:type="dxa"/>
              <w:right w:w="150" w:type="dxa"/>
            </w:tcMar>
            <w:vAlign w:val="center"/>
          </w:tcPr>
          <w:p w:rsidR="00103635" w:rsidRPr="00D318C0" w:rsidRDefault="00103635" w:rsidP="006713B9">
            <w:pPr>
              <w:spacing w:after="0" w:line="240" w:lineRule="auto"/>
              <w:jc w:val="center"/>
              <w:rPr>
                <w:rFonts w:ascii="Tahoma" w:eastAsia="Times New Roman" w:hAnsi="Tahoma" w:cs="Tahoma"/>
                <w:color w:val="000000"/>
                <w:lang w:eastAsia="ru-RU"/>
              </w:rPr>
            </w:pPr>
            <w:r w:rsidRPr="00D318C0">
              <w:rPr>
                <w:rFonts w:ascii="Tahoma" w:eastAsia="Times New Roman" w:hAnsi="Tahoma" w:cs="Tahoma"/>
                <w:color w:val="000000"/>
                <w:lang w:eastAsia="ru-RU"/>
              </w:rPr>
              <w:t>22%</w:t>
            </w:r>
          </w:p>
        </w:tc>
      </w:tr>
      <w:tr w:rsidR="00103635" w:rsidRPr="00595970" w:rsidTr="006713B9">
        <w:tc>
          <w:tcPr>
            <w:tcW w:w="2233" w:type="pct"/>
            <w:tcMar>
              <w:top w:w="0" w:type="dxa"/>
              <w:left w:w="150" w:type="dxa"/>
              <w:bottom w:w="0" w:type="dxa"/>
              <w:right w:w="150" w:type="dxa"/>
            </w:tcMar>
          </w:tcPr>
          <w:p w:rsidR="00103635" w:rsidRPr="002B0378" w:rsidRDefault="00103635" w:rsidP="006713B9">
            <w:pPr>
              <w:spacing w:after="0" w:line="240" w:lineRule="auto"/>
              <w:rPr>
                <w:rFonts w:ascii="Tahoma" w:eastAsia="Times New Roman" w:hAnsi="Tahoma" w:cs="Tahoma"/>
                <w:b/>
                <w:color w:val="000000"/>
                <w:sz w:val="24"/>
                <w:szCs w:val="24"/>
                <w:lang w:eastAsia="ru-RU"/>
              </w:rPr>
            </w:pPr>
            <w:r w:rsidRPr="003A103F">
              <w:rPr>
                <w:rFonts w:ascii="Tahoma" w:eastAsia="Times New Roman" w:hAnsi="Tahoma" w:cs="Tahoma"/>
                <w:b/>
                <w:color w:val="000000"/>
                <w:sz w:val="24"/>
                <w:szCs w:val="24"/>
                <w:lang w:val="en-US" w:eastAsia="ru-RU"/>
              </w:rPr>
              <w:t>Total</w:t>
            </w:r>
            <w:r w:rsidRPr="002B0378">
              <w:rPr>
                <w:rFonts w:ascii="Tahoma" w:eastAsia="Times New Roman" w:hAnsi="Tahoma" w:cs="Tahoma"/>
                <w:b/>
                <w:color w:val="000000"/>
                <w:sz w:val="24"/>
                <w:szCs w:val="24"/>
                <w:lang w:eastAsia="ru-RU"/>
              </w:rPr>
              <w:t xml:space="preserve"> </w:t>
            </w:r>
            <w:r w:rsidRPr="003A103F">
              <w:rPr>
                <w:rFonts w:ascii="Tahoma" w:eastAsia="Times New Roman" w:hAnsi="Tahoma" w:cs="Tahoma"/>
                <w:b/>
                <w:color w:val="000000"/>
                <w:sz w:val="24"/>
                <w:szCs w:val="24"/>
                <w:lang w:val="en-US" w:eastAsia="ru-RU"/>
              </w:rPr>
              <w:t>revenue</w:t>
            </w:r>
          </w:p>
        </w:tc>
        <w:tc>
          <w:tcPr>
            <w:tcW w:w="1000" w:type="pct"/>
            <w:tcMar>
              <w:top w:w="0" w:type="dxa"/>
              <w:left w:w="150" w:type="dxa"/>
              <w:bottom w:w="0" w:type="dxa"/>
              <w:right w:w="150" w:type="dxa"/>
            </w:tcMar>
            <w:vAlign w:val="bottom"/>
          </w:tcPr>
          <w:p w:rsidR="00103635" w:rsidRPr="004D0D6F" w:rsidRDefault="00103635" w:rsidP="00A934E3">
            <w:pPr>
              <w:spacing w:after="0" w:line="240" w:lineRule="auto"/>
              <w:jc w:val="center"/>
              <w:rPr>
                <w:rFonts w:ascii="Tahoma" w:eastAsia="Times New Roman" w:hAnsi="Tahoma" w:cs="Tahoma"/>
                <w:b/>
                <w:color w:val="000000"/>
                <w:lang w:eastAsia="ru-RU"/>
              </w:rPr>
            </w:pPr>
            <w:r w:rsidRPr="004D0D6F">
              <w:rPr>
                <w:rFonts w:ascii="Tahoma" w:eastAsia="Times New Roman" w:hAnsi="Tahoma" w:cs="Tahoma"/>
                <w:b/>
                <w:color w:val="000000"/>
                <w:lang w:eastAsia="ru-RU"/>
              </w:rPr>
              <w:t>96</w:t>
            </w:r>
            <w:r w:rsidR="00A934E3">
              <w:rPr>
                <w:rFonts w:ascii="Tahoma" w:eastAsia="Times New Roman" w:hAnsi="Tahoma" w:cs="Tahoma"/>
                <w:b/>
                <w:color w:val="000000"/>
                <w:lang w:val="en-US" w:eastAsia="ru-RU"/>
              </w:rPr>
              <w:t>,</w:t>
            </w:r>
            <w:r w:rsidRPr="004D0D6F">
              <w:rPr>
                <w:rFonts w:ascii="Tahoma" w:eastAsia="Times New Roman" w:hAnsi="Tahoma" w:cs="Tahoma"/>
                <w:b/>
                <w:color w:val="000000"/>
                <w:lang w:eastAsia="ru-RU"/>
              </w:rPr>
              <w:t>695</w:t>
            </w:r>
          </w:p>
        </w:tc>
        <w:tc>
          <w:tcPr>
            <w:tcW w:w="922" w:type="pct"/>
            <w:tcMar>
              <w:top w:w="0" w:type="dxa"/>
              <w:left w:w="150" w:type="dxa"/>
              <w:bottom w:w="0" w:type="dxa"/>
              <w:right w:w="150" w:type="dxa"/>
            </w:tcMar>
            <w:vAlign w:val="bottom"/>
          </w:tcPr>
          <w:p w:rsidR="00103635" w:rsidRPr="004D0D6F" w:rsidRDefault="00103635" w:rsidP="00A934E3">
            <w:pPr>
              <w:spacing w:after="0" w:line="240" w:lineRule="auto"/>
              <w:jc w:val="center"/>
              <w:rPr>
                <w:rFonts w:ascii="Tahoma" w:eastAsia="Times New Roman" w:hAnsi="Tahoma" w:cs="Tahoma"/>
                <w:b/>
                <w:color w:val="000000"/>
                <w:lang w:eastAsia="ru-RU"/>
              </w:rPr>
            </w:pPr>
            <w:r w:rsidRPr="004D0D6F">
              <w:rPr>
                <w:rFonts w:ascii="Tahoma" w:eastAsia="Times New Roman" w:hAnsi="Tahoma" w:cs="Tahoma"/>
                <w:b/>
                <w:color w:val="000000"/>
                <w:lang w:eastAsia="ru-RU"/>
              </w:rPr>
              <w:t>90</w:t>
            </w:r>
            <w:r w:rsidR="00A934E3">
              <w:rPr>
                <w:rFonts w:ascii="Tahoma" w:eastAsia="Times New Roman" w:hAnsi="Tahoma" w:cs="Tahoma"/>
                <w:b/>
                <w:color w:val="000000"/>
                <w:lang w:val="en-US" w:eastAsia="ru-RU"/>
              </w:rPr>
              <w:t>,</w:t>
            </w:r>
            <w:r w:rsidRPr="004D0D6F">
              <w:rPr>
                <w:rFonts w:ascii="Tahoma" w:eastAsia="Times New Roman" w:hAnsi="Tahoma" w:cs="Tahoma"/>
                <w:b/>
                <w:color w:val="000000"/>
                <w:lang w:eastAsia="ru-RU"/>
              </w:rPr>
              <w:t>850</w:t>
            </w:r>
          </w:p>
        </w:tc>
        <w:tc>
          <w:tcPr>
            <w:tcW w:w="845" w:type="pct"/>
            <w:tcMar>
              <w:top w:w="0" w:type="dxa"/>
              <w:left w:w="150" w:type="dxa"/>
              <w:bottom w:w="0" w:type="dxa"/>
              <w:right w:w="150" w:type="dxa"/>
            </w:tcMar>
            <w:vAlign w:val="bottom"/>
          </w:tcPr>
          <w:p w:rsidR="00103635" w:rsidRPr="004D0D6F" w:rsidRDefault="00103635" w:rsidP="006713B9">
            <w:pPr>
              <w:spacing w:after="0" w:line="240" w:lineRule="auto"/>
              <w:jc w:val="center"/>
              <w:rPr>
                <w:rFonts w:ascii="Tahoma" w:eastAsia="Times New Roman" w:hAnsi="Tahoma" w:cs="Tahoma"/>
                <w:b/>
                <w:color w:val="000000"/>
                <w:lang w:eastAsia="ru-RU"/>
              </w:rPr>
            </w:pPr>
            <w:r w:rsidRPr="004D0D6F">
              <w:rPr>
                <w:rFonts w:ascii="Tahoma" w:eastAsia="Times New Roman" w:hAnsi="Tahoma" w:cs="Tahoma"/>
                <w:b/>
                <w:color w:val="000000"/>
                <w:lang w:eastAsia="ru-RU"/>
              </w:rPr>
              <w:t>6%</w:t>
            </w:r>
          </w:p>
        </w:tc>
      </w:tr>
      <w:tr w:rsidR="00103635" w:rsidRPr="00595970" w:rsidTr="006713B9">
        <w:tc>
          <w:tcPr>
            <w:tcW w:w="2233" w:type="pct"/>
            <w:tcMar>
              <w:top w:w="0" w:type="dxa"/>
              <w:left w:w="150" w:type="dxa"/>
              <w:bottom w:w="0" w:type="dxa"/>
              <w:right w:w="150" w:type="dxa"/>
            </w:tcMar>
          </w:tcPr>
          <w:p w:rsidR="00103635" w:rsidRPr="005D0EAC" w:rsidRDefault="00103635" w:rsidP="006713B9">
            <w:pPr>
              <w:spacing w:after="0" w:line="240" w:lineRule="auto"/>
              <w:rPr>
                <w:rFonts w:ascii="Tahoma" w:eastAsia="Times New Roman" w:hAnsi="Tahoma" w:cs="Tahoma"/>
                <w:color w:val="000000"/>
                <w:sz w:val="24"/>
                <w:szCs w:val="24"/>
                <w:lang w:val="en-US" w:eastAsia="ru-RU"/>
              </w:rPr>
            </w:pPr>
            <w:r w:rsidRPr="005D0EAC">
              <w:rPr>
                <w:rFonts w:ascii="Tahoma" w:eastAsia="Times New Roman" w:hAnsi="Tahoma" w:cs="Tahoma"/>
                <w:color w:val="000000"/>
                <w:sz w:val="24"/>
                <w:szCs w:val="24"/>
                <w:lang w:val="en-US" w:eastAsia="ru-RU"/>
              </w:rPr>
              <w:lastRenderedPageBreak/>
              <w:t>Government grants</w:t>
            </w:r>
          </w:p>
        </w:tc>
        <w:tc>
          <w:tcPr>
            <w:tcW w:w="1000" w:type="pct"/>
            <w:tcMar>
              <w:top w:w="0" w:type="dxa"/>
              <w:left w:w="150" w:type="dxa"/>
              <w:bottom w:w="0" w:type="dxa"/>
              <w:right w:w="150" w:type="dxa"/>
            </w:tcMar>
            <w:vAlign w:val="bottom"/>
          </w:tcPr>
          <w:p w:rsidR="00103635" w:rsidRPr="004D0D6F" w:rsidRDefault="00103635" w:rsidP="00A934E3">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7</w:t>
            </w:r>
            <w:r w:rsidR="00A934E3">
              <w:rPr>
                <w:rFonts w:ascii="Tahoma" w:eastAsia="Times New Roman" w:hAnsi="Tahoma" w:cs="Tahoma"/>
                <w:color w:val="000000"/>
                <w:lang w:val="en-US" w:eastAsia="ru-RU"/>
              </w:rPr>
              <w:t>,</w:t>
            </w:r>
            <w:r w:rsidRPr="004D0D6F">
              <w:rPr>
                <w:rFonts w:ascii="Tahoma" w:eastAsia="Times New Roman" w:hAnsi="Tahoma" w:cs="Tahoma"/>
                <w:color w:val="000000"/>
                <w:lang w:eastAsia="ru-RU"/>
              </w:rPr>
              <w:t>226</w:t>
            </w:r>
          </w:p>
        </w:tc>
        <w:tc>
          <w:tcPr>
            <w:tcW w:w="922" w:type="pct"/>
            <w:tcMar>
              <w:top w:w="0" w:type="dxa"/>
              <w:left w:w="150" w:type="dxa"/>
              <w:bottom w:w="0" w:type="dxa"/>
              <w:right w:w="150" w:type="dxa"/>
            </w:tcMar>
            <w:vAlign w:val="bottom"/>
          </w:tcPr>
          <w:p w:rsidR="00103635" w:rsidRPr="004D0D6F" w:rsidRDefault="00103635" w:rsidP="00A934E3">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6</w:t>
            </w:r>
            <w:r w:rsidR="00A934E3">
              <w:rPr>
                <w:rFonts w:ascii="Tahoma" w:eastAsia="Times New Roman" w:hAnsi="Tahoma" w:cs="Tahoma"/>
                <w:color w:val="000000"/>
                <w:lang w:val="en-US" w:eastAsia="ru-RU"/>
              </w:rPr>
              <w:t>,</w:t>
            </w:r>
            <w:r w:rsidRPr="004D0D6F">
              <w:rPr>
                <w:rFonts w:ascii="Tahoma" w:eastAsia="Times New Roman" w:hAnsi="Tahoma" w:cs="Tahoma"/>
                <w:color w:val="000000"/>
                <w:lang w:eastAsia="ru-RU"/>
              </w:rPr>
              <w:t>620</w:t>
            </w:r>
          </w:p>
        </w:tc>
        <w:tc>
          <w:tcPr>
            <w:tcW w:w="845" w:type="pct"/>
            <w:tcMar>
              <w:top w:w="0" w:type="dxa"/>
              <w:left w:w="150" w:type="dxa"/>
              <w:bottom w:w="0" w:type="dxa"/>
              <w:right w:w="150" w:type="dxa"/>
            </w:tcMar>
            <w:vAlign w:val="bottom"/>
          </w:tcPr>
          <w:p w:rsidR="00103635" w:rsidRPr="004D0D6F" w:rsidRDefault="00103635"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9%</w:t>
            </w:r>
          </w:p>
        </w:tc>
      </w:tr>
      <w:tr w:rsidR="00103635" w:rsidRPr="00595970" w:rsidTr="006713B9">
        <w:tc>
          <w:tcPr>
            <w:tcW w:w="2233" w:type="pct"/>
            <w:tcMar>
              <w:top w:w="0" w:type="dxa"/>
              <w:left w:w="150" w:type="dxa"/>
              <w:bottom w:w="0" w:type="dxa"/>
              <w:right w:w="150" w:type="dxa"/>
            </w:tcMar>
          </w:tcPr>
          <w:p w:rsidR="00103635" w:rsidRPr="008B2A31" w:rsidRDefault="00103635" w:rsidP="006713B9">
            <w:pPr>
              <w:spacing w:line="240" w:lineRule="auto"/>
              <w:rPr>
                <w:rFonts w:ascii="Tahoma" w:hAnsi="Tahoma"/>
                <w:b/>
                <w:color w:val="000000"/>
                <w:sz w:val="24"/>
                <w:lang w:val="en-US"/>
              </w:rPr>
            </w:pPr>
            <w:r w:rsidRPr="008B2A31">
              <w:rPr>
                <w:rFonts w:ascii="Tahoma" w:eastAsia="Times New Roman" w:hAnsi="Tahoma" w:cs="Tahoma"/>
                <w:b/>
                <w:bCs/>
                <w:color w:val="000000"/>
                <w:sz w:val="24"/>
                <w:szCs w:val="24"/>
                <w:lang w:val="en-US" w:eastAsia="ru-RU"/>
              </w:rPr>
              <w:t>Revenues with government grants</w:t>
            </w:r>
          </w:p>
        </w:tc>
        <w:tc>
          <w:tcPr>
            <w:tcW w:w="1000" w:type="pct"/>
            <w:tcMar>
              <w:top w:w="0" w:type="dxa"/>
              <w:left w:w="150" w:type="dxa"/>
              <w:bottom w:w="0" w:type="dxa"/>
              <w:right w:w="150" w:type="dxa"/>
            </w:tcMar>
            <w:vAlign w:val="center"/>
          </w:tcPr>
          <w:p w:rsidR="00103635" w:rsidRPr="004D0D6F" w:rsidRDefault="00103635" w:rsidP="00A934E3">
            <w:pPr>
              <w:spacing w:after="0" w:line="240" w:lineRule="auto"/>
              <w:jc w:val="center"/>
              <w:rPr>
                <w:rFonts w:ascii="Tahoma" w:eastAsia="Times New Roman" w:hAnsi="Tahoma" w:cs="Tahoma"/>
                <w:b/>
                <w:color w:val="000000"/>
                <w:lang w:eastAsia="ru-RU"/>
              </w:rPr>
            </w:pPr>
            <w:r w:rsidRPr="004D0D6F">
              <w:rPr>
                <w:rFonts w:ascii="Tahoma" w:eastAsia="Times New Roman" w:hAnsi="Tahoma" w:cs="Tahoma"/>
                <w:b/>
                <w:color w:val="000000"/>
                <w:lang w:eastAsia="ru-RU"/>
              </w:rPr>
              <w:t>103</w:t>
            </w:r>
            <w:r w:rsidR="00A934E3">
              <w:rPr>
                <w:rFonts w:ascii="Tahoma" w:eastAsia="Times New Roman" w:hAnsi="Tahoma" w:cs="Tahoma"/>
                <w:b/>
                <w:color w:val="000000"/>
                <w:lang w:val="en-US" w:eastAsia="ru-RU"/>
              </w:rPr>
              <w:t>,</w:t>
            </w:r>
            <w:r w:rsidRPr="004D0D6F">
              <w:rPr>
                <w:rFonts w:ascii="Tahoma" w:eastAsia="Times New Roman" w:hAnsi="Tahoma" w:cs="Tahoma"/>
                <w:b/>
                <w:color w:val="000000"/>
                <w:lang w:eastAsia="ru-RU"/>
              </w:rPr>
              <w:t>921</w:t>
            </w:r>
          </w:p>
        </w:tc>
        <w:tc>
          <w:tcPr>
            <w:tcW w:w="922" w:type="pct"/>
            <w:tcMar>
              <w:top w:w="0" w:type="dxa"/>
              <w:left w:w="150" w:type="dxa"/>
              <w:bottom w:w="0" w:type="dxa"/>
              <w:right w:w="150" w:type="dxa"/>
            </w:tcMar>
            <w:vAlign w:val="center"/>
          </w:tcPr>
          <w:p w:rsidR="00103635" w:rsidRPr="004D0D6F" w:rsidRDefault="00103635" w:rsidP="00A934E3">
            <w:pPr>
              <w:spacing w:after="0" w:line="240" w:lineRule="auto"/>
              <w:jc w:val="center"/>
              <w:rPr>
                <w:rFonts w:ascii="Tahoma" w:eastAsia="Times New Roman" w:hAnsi="Tahoma" w:cs="Tahoma"/>
                <w:b/>
                <w:color w:val="000000"/>
                <w:lang w:eastAsia="ru-RU"/>
              </w:rPr>
            </w:pPr>
            <w:r w:rsidRPr="004D0D6F">
              <w:rPr>
                <w:rFonts w:ascii="Tahoma" w:eastAsia="Times New Roman" w:hAnsi="Tahoma" w:cs="Tahoma"/>
                <w:b/>
                <w:color w:val="000000"/>
                <w:lang w:eastAsia="ru-RU"/>
              </w:rPr>
              <w:t>97</w:t>
            </w:r>
            <w:r w:rsidR="00A934E3">
              <w:rPr>
                <w:rFonts w:ascii="Tahoma" w:eastAsia="Times New Roman" w:hAnsi="Tahoma" w:cs="Tahoma"/>
                <w:b/>
                <w:color w:val="000000"/>
                <w:lang w:val="en-US" w:eastAsia="ru-RU"/>
              </w:rPr>
              <w:t>,</w:t>
            </w:r>
            <w:r w:rsidRPr="004D0D6F">
              <w:rPr>
                <w:rFonts w:ascii="Tahoma" w:eastAsia="Times New Roman" w:hAnsi="Tahoma" w:cs="Tahoma"/>
                <w:b/>
                <w:color w:val="000000"/>
                <w:lang w:eastAsia="ru-RU"/>
              </w:rPr>
              <w:t>470</w:t>
            </w:r>
          </w:p>
        </w:tc>
        <w:tc>
          <w:tcPr>
            <w:tcW w:w="845" w:type="pct"/>
            <w:tcMar>
              <w:top w:w="0" w:type="dxa"/>
              <w:left w:w="150" w:type="dxa"/>
              <w:bottom w:w="0" w:type="dxa"/>
              <w:right w:w="150" w:type="dxa"/>
            </w:tcMar>
            <w:vAlign w:val="center"/>
          </w:tcPr>
          <w:p w:rsidR="00103635" w:rsidRPr="004D0D6F" w:rsidRDefault="00103635" w:rsidP="006713B9">
            <w:pPr>
              <w:spacing w:after="0" w:line="240" w:lineRule="auto"/>
              <w:jc w:val="center"/>
              <w:rPr>
                <w:rFonts w:ascii="Tahoma" w:eastAsia="Times New Roman" w:hAnsi="Tahoma" w:cs="Tahoma"/>
                <w:b/>
                <w:color w:val="000000"/>
                <w:lang w:eastAsia="ru-RU"/>
              </w:rPr>
            </w:pPr>
            <w:r w:rsidRPr="004D0D6F">
              <w:rPr>
                <w:rFonts w:ascii="Tahoma" w:eastAsia="Times New Roman" w:hAnsi="Tahoma" w:cs="Tahoma"/>
                <w:b/>
                <w:lang w:eastAsia="ru-RU"/>
              </w:rPr>
              <w:t>7%</w:t>
            </w:r>
          </w:p>
        </w:tc>
      </w:tr>
    </w:tbl>
    <w:p w:rsidR="00595970" w:rsidRPr="00595970" w:rsidRDefault="00595970" w:rsidP="00595970">
      <w:pPr>
        <w:spacing w:after="0" w:line="240" w:lineRule="auto"/>
        <w:jc w:val="both"/>
        <w:rPr>
          <w:rFonts w:ascii="Tahoma" w:eastAsia="Times New Roman" w:hAnsi="Tahoma" w:cs="Tahoma"/>
          <w:sz w:val="24"/>
          <w:szCs w:val="24"/>
          <w:lang w:eastAsia="ru-RU"/>
        </w:rPr>
      </w:pPr>
    </w:p>
    <w:p w:rsidR="00595970" w:rsidRPr="006348FD" w:rsidRDefault="006348FD" w:rsidP="00595970">
      <w:pPr>
        <w:spacing w:after="0" w:line="240" w:lineRule="auto"/>
        <w:jc w:val="both"/>
        <w:rPr>
          <w:rFonts w:ascii="Tahoma" w:eastAsia="Times New Roman" w:hAnsi="Tahoma" w:cs="Tahoma"/>
          <w:b/>
          <w:sz w:val="24"/>
          <w:szCs w:val="24"/>
          <w:lang w:val="en-US" w:eastAsia="ru-RU"/>
        </w:rPr>
      </w:pPr>
      <w:r w:rsidRPr="006348FD">
        <w:rPr>
          <w:rFonts w:ascii="Tahoma" w:eastAsia="Times New Roman" w:hAnsi="Tahoma" w:cs="Tahoma"/>
          <w:b/>
          <w:sz w:val="24"/>
          <w:szCs w:val="24"/>
          <w:lang w:val="en-US" w:eastAsia="ru-RU"/>
        </w:rPr>
        <w:t>Operating expenses</w:t>
      </w:r>
    </w:p>
    <w:p w:rsidR="006348FD" w:rsidRDefault="006348FD" w:rsidP="00595970">
      <w:pPr>
        <w:spacing w:after="0" w:line="240" w:lineRule="auto"/>
        <w:jc w:val="both"/>
        <w:rPr>
          <w:rFonts w:ascii="Tahoma" w:eastAsia="Times New Roman" w:hAnsi="Tahoma" w:cs="Tahoma"/>
          <w:sz w:val="24"/>
          <w:szCs w:val="24"/>
          <w:lang w:val="en-US" w:eastAsia="ru-RU"/>
        </w:rPr>
      </w:pPr>
    </w:p>
    <w:p w:rsidR="009006C0" w:rsidRDefault="009006C0"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In </w:t>
      </w:r>
      <w:r w:rsidR="00A934E3">
        <w:rPr>
          <w:rFonts w:ascii="Tahoma" w:eastAsia="Times New Roman" w:hAnsi="Tahoma" w:cs="Tahoma"/>
          <w:sz w:val="24"/>
          <w:szCs w:val="24"/>
          <w:lang w:val="en-US" w:eastAsia="ru-RU"/>
        </w:rPr>
        <w:t>9</w:t>
      </w:r>
      <w:r w:rsidR="008E0B85">
        <w:rPr>
          <w:rFonts w:ascii="Tahoma" w:eastAsia="Times New Roman" w:hAnsi="Tahoma" w:cs="Tahoma"/>
          <w:sz w:val="24"/>
          <w:szCs w:val="24"/>
          <w:lang w:val="en-US" w:eastAsia="ru-RU"/>
        </w:rPr>
        <w:t xml:space="preserve"> months of</w:t>
      </w:r>
      <w:r w:rsidR="00DA6659">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201</w:t>
      </w:r>
      <w:r w:rsidR="00B77AD0">
        <w:rPr>
          <w:rFonts w:ascii="Tahoma" w:eastAsia="Times New Roman" w:hAnsi="Tahoma" w:cs="Tahoma"/>
          <w:sz w:val="24"/>
          <w:szCs w:val="24"/>
          <w:lang w:val="en-US" w:eastAsia="ru-RU"/>
        </w:rPr>
        <w:t>3</w:t>
      </w:r>
      <w:r>
        <w:rPr>
          <w:rFonts w:ascii="Tahoma" w:eastAsia="Times New Roman" w:hAnsi="Tahoma" w:cs="Tahoma"/>
          <w:sz w:val="24"/>
          <w:szCs w:val="24"/>
          <w:lang w:val="en-US" w:eastAsia="ru-RU"/>
        </w:rPr>
        <w:t xml:space="preserve"> the Group</w:t>
      </w:r>
      <w:r w:rsidR="00FD12DC">
        <w:rPr>
          <w:rFonts w:ascii="Tahoma" w:eastAsia="Times New Roman" w:hAnsi="Tahoma" w:cs="Tahoma"/>
          <w:sz w:val="24"/>
          <w:szCs w:val="24"/>
          <w:lang w:val="en-US" w:eastAsia="ru-RU"/>
        </w:rPr>
        <w:t>’s</w:t>
      </w:r>
      <w:r>
        <w:rPr>
          <w:rFonts w:ascii="Tahoma" w:eastAsia="Times New Roman" w:hAnsi="Tahoma" w:cs="Tahoma"/>
          <w:sz w:val="24"/>
          <w:szCs w:val="24"/>
          <w:lang w:val="en-US" w:eastAsia="ru-RU"/>
        </w:rPr>
        <w:t xml:space="preserve"> operating expenses </w:t>
      </w:r>
      <w:r w:rsidR="00DA6659">
        <w:rPr>
          <w:rFonts w:ascii="Tahoma" w:eastAsia="Times New Roman" w:hAnsi="Tahoma" w:cs="Tahoma"/>
          <w:sz w:val="24"/>
          <w:szCs w:val="24"/>
          <w:lang w:val="en-US" w:eastAsia="ru-RU"/>
        </w:rPr>
        <w:t xml:space="preserve">were </w:t>
      </w:r>
      <w:r w:rsidR="00B77AD0">
        <w:rPr>
          <w:rFonts w:ascii="Tahoma" w:eastAsia="Times New Roman" w:hAnsi="Tahoma" w:cs="Tahoma"/>
          <w:sz w:val="24"/>
          <w:szCs w:val="24"/>
          <w:lang w:val="en-US" w:eastAsia="ru-RU"/>
        </w:rPr>
        <w:t>down by</w:t>
      </w:r>
      <w:r>
        <w:rPr>
          <w:rFonts w:ascii="Tahoma" w:eastAsia="Times New Roman" w:hAnsi="Tahoma" w:cs="Tahoma"/>
          <w:sz w:val="24"/>
          <w:szCs w:val="24"/>
          <w:lang w:val="en-US" w:eastAsia="ru-RU"/>
        </w:rPr>
        <w:t xml:space="preserve"> </w:t>
      </w:r>
      <w:r w:rsidR="00A934E3">
        <w:rPr>
          <w:rFonts w:ascii="Tahoma" w:eastAsia="Times New Roman" w:hAnsi="Tahoma" w:cs="Tahoma"/>
          <w:sz w:val="24"/>
          <w:szCs w:val="24"/>
          <w:lang w:val="en-US" w:eastAsia="ru-RU"/>
        </w:rPr>
        <w:t>1</w:t>
      </w:r>
      <w:r>
        <w:rPr>
          <w:rFonts w:ascii="Tahoma" w:eastAsia="Times New Roman" w:hAnsi="Tahoma" w:cs="Tahoma"/>
          <w:sz w:val="24"/>
          <w:szCs w:val="24"/>
          <w:lang w:val="en-US" w:eastAsia="ru-RU"/>
        </w:rPr>
        <w:t>%</w:t>
      </w:r>
      <w:r w:rsidR="00FE0550">
        <w:rPr>
          <w:rFonts w:ascii="Tahoma" w:eastAsia="Times New Roman" w:hAnsi="Tahoma" w:cs="Tahoma"/>
          <w:sz w:val="24"/>
          <w:szCs w:val="24"/>
          <w:lang w:val="en-US" w:eastAsia="ru-RU"/>
        </w:rPr>
        <w:t>,</w:t>
      </w:r>
      <w:r>
        <w:rPr>
          <w:rFonts w:ascii="Tahoma" w:eastAsia="Times New Roman" w:hAnsi="Tahoma" w:cs="Tahoma"/>
          <w:sz w:val="24"/>
          <w:szCs w:val="24"/>
          <w:lang w:val="en-US" w:eastAsia="ru-RU"/>
        </w:rPr>
        <w:t xml:space="preserve"> amounting to </w:t>
      </w:r>
      <w:r w:rsidR="00A934E3">
        <w:rPr>
          <w:rFonts w:ascii="Tahoma" w:eastAsia="Times New Roman" w:hAnsi="Tahoma" w:cs="Tahoma"/>
          <w:sz w:val="24"/>
          <w:szCs w:val="24"/>
          <w:lang w:val="en-US" w:eastAsia="ru-RU"/>
        </w:rPr>
        <w:t>100</w:t>
      </w:r>
      <w:r w:rsidR="00477F3F">
        <w:rPr>
          <w:rFonts w:ascii="Tahoma" w:eastAsia="Times New Roman" w:hAnsi="Tahoma" w:cs="Tahoma"/>
          <w:sz w:val="24"/>
          <w:szCs w:val="24"/>
          <w:lang w:val="en-US" w:eastAsia="ru-RU"/>
        </w:rPr>
        <w:t>,</w:t>
      </w:r>
      <w:r w:rsidR="008B2A31">
        <w:rPr>
          <w:rFonts w:ascii="Tahoma" w:eastAsia="Times New Roman" w:hAnsi="Tahoma" w:cs="Tahoma"/>
          <w:sz w:val="24"/>
          <w:szCs w:val="24"/>
          <w:lang w:val="en-US" w:eastAsia="ru-RU"/>
        </w:rPr>
        <w:t>5</w:t>
      </w:r>
      <w:r w:rsidR="00A934E3">
        <w:rPr>
          <w:rFonts w:ascii="Tahoma" w:eastAsia="Times New Roman" w:hAnsi="Tahoma" w:cs="Tahoma"/>
          <w:sz w:val="24"/>
          <w:szCs w:val="24"/>
          <w:lang w:val="en-US" w:eastAsia="ru-RU"/>
        </w:rPr>
        <w:t>53</w:t>
      </w:r>
      <w:r>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Pr>
          <w:rFonts w:ascii="Tahoma" w:eastAsia="Times New Roman" w:hAnsi="Tahoma" w:cs="Tahoma"/>
          <w:sz w:val="24"/>
          <w:szCs w:val="24"/>
          <w:lang w:val="en-US" w:eastAsia="ru-RU"/>
        </w:rPr>
        <w:t xml:space="preserve"> RU</w:t>
      </w:r>
      <w:r w:rsidR="00477F3F">
        <w:rPr>
          <w:rFonts w:ascii="Tahoma" w:eastAsia="Times New Roman" w:hAnsi="Tahoma" w:cs="Tahoma"/>
          <w:sz w:val="24"/>
          <w:szCs w:val="24"/>
          <w:lang w:val="en-US" w:eastAsia="ru-RU"/>
        </w:rPr>
        <w:t>B</w:t>
      </w:r>
      <w:r>
        <w:rPr>
          <w:rFonts w:ascii="Tahoma" w:eastAsia="Times New Roman" w:hAnsi="Tahoma" w:cs="Tahoma"/>
          <w:sz w:val="24"/>
          <w:szCs w:val="24"/>
          <w:lang w:val="en-US" w:eastAsia="ru-RU"/>
        </w:rPr>
        <w:t xml:space="preserve"> compared to </w:t>
      </w:r>
      <w:r w:rsidR="00A934E3">
        <w:rPr>
          <w:rFonts w:ascii="Tahoma" w:eastAsia="Times New Roman" w:hAnsi="Tahoma" w:cs="Tahoma"/>
          <w:sz w:val="24"/>
          <w:szCs w:val="24"/>
          <w:lang w:val="en-US" w:eastAsia="ru-RU"/>
        </w:rPr>
        <w:t>101</w:t>
      </w:r>
      <w:r w:rsidR="00477F3F">
        <w:rPr>
          <w:rFonts w:ascii="Tahoma" w:eastAsia="Times New Roman" w:hAnsi="Tahoma" w:cs="Tahoma"/>
          <w:sz w:val="24"/>
          <w:szCs w:val="24"/>
          <w:lang w:val="en-US" w:eastAsia="ru-RU"/>
        </w:rPr>
        <w:t>,</w:t>
      </w:r>
      <w:r w:rsidR="008B2A31">
        <w:rPr>
          <w:rFonts w:ascii="Tahoma" w:eastAsia="Times New Roman" w:hAnsi="Tahoma" w:cs="Tahoma"/>
          <w:sz w:val="24"/>
          <w:szCs w:val="24"/>
          <w:lang w:val="en-US" w:eastAsia="ru-RU"/>
        </w:rPr>
        <w:t>2</w:t>
      </w:r>
      <w:r w:rsidR="00A934E3">
        <w:rPr>
          <w:rFonts w:ascii="Tahoma" w:eastAsia="Times New Roman" w:hAnsi="Tahoma" w:cs="Tahoma"/>
          <w:sz w:val="24"/>
          <w:szCs w:val="24"/>
          <w:lang w:val="en-US" w:eastAsia="ru-RU"/>
        </w:rPr>
        <w:t>26</w:t>
      </w:r>
      <w:r>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DA6659">
        <w:rPr>
          <w:rFonts w:ascii="Tahoma" w:eastAsia="Times New Roman" w:hAnsi="Tahoma" w:cs="Tahoma"/>
          <w:sz w:val="24"/>
          <w:szCs w:val="24"/>
          <w:lang w:val="en-US" w:eastAsia="ru-RU"/>
        </w:rPr>
        <w:t xml:space="preserve"> RU</w:t>
      </w:r>
      <w:r w:rsidR="00477F3F">
        <w:rPr>
          <w:rFonts w:ascii="Tahoma" w:eastAsia="Times New Roman" w:hAnsi="Tahoma" w:cs="Tahoma"/>
          <w:sz w:val="24"/>
          <w:szCs w:val="24"/>
          <w:lang w:val="en-US" w:eastAsia="ru-RU"/>
        </w:rPr>
        <w:t>B</w:t>
      </w:r>
      <w:r w:rsidR="00DA6659">
        <w:rPr>
          <w:rFonts w:ascii="Tahoma" w:eastAsia="Times New Roman" w:hAnsi="Tahoma" w:cs="Tahoma"/>
          <w:sz w:val="24"/>
          <w:szCs w:val="24"/>
          <w:lang w:val="en-US" w:eastAsia="ru-RU"/>
        </w:rPr>
        <w:t xml:space="preserve"> </w:t>
      </w:r>
      <w:r w:rsidR="00477F3F">
        <w:rPr>
          <w:rFonts w:ascii="Tahoma" w:eastAsia="Times New Roman" w:hAnsi="Tahoma" w:cs="Tahoma"/>
          <w:sz w:val="24"/>
          <w:szCs w:val="24"/>
          <w:lang w:val="en-US" w:eastAsia="ru-RU"/>
        </w:rPr>
        <w:t>in the previous year</w:t>
      </w:r>
      <w:r>
        <w:rPr>
          <w:rFonts w:ascii="Tahoma" w:eastAsia="Times New Roman" w:hAnsi="Tahoma" w:cs="Tahoma"/>
          <w:sz w:val="24"/>
          <w:szCs w:val="24"/>
          <w:lang w:val="en-US" w:eastAsia="ru-RU"/>
        </w:rPr>
        <w:t>.</w:t>
      </w:r>
    </w:p>
    <w:p w:rsidR="009006C0" w:rsidRDefault="009006C0" w:rsidP="00595970">
      <w:pPr>
        <w:spacing w:after="0" w:line="240" w:lineRule="auto"/>
        <w:jc w:val="both"/>
        <w:rPr>
          <w:rFonts w:ascii="Tahoma" w:eastAsia="Times New Roman" w:hAnsi="Tahoma" w:cs="Tahoma"/>
          <w:sz w:val="24"/>
          <w:szCs w:val="24"/>
          <w:lang w:val="en-US" w:eastAsia="ru-RU"/>
        </w:rPr>
      </w:pPr>
    </w:p>
    <w:p w:rsidR="000200A1" w:rsidRDefault="009006C0" w:rsidP="00595970">
      <w:pPr>
        <w:spacing w:after="0" w:line="240" w:lineRule="auto"/>
        <w:jc w:val="both"/>
        <w:rPr>
          <w:rFonts w:ascii="Tahoma" w:eastAsia="Times New Roman" w:hAnsi="Tahoma" w:cs="Tahoma"/>
          <w:sz w:val="24"/>
          <w:szCs w:val="24"/>
          <w:lang w:val="en-US" w:eastAsia="ru-RU"/>
        </w:rPr>
      </w:pPr>
      <w:r w:rsidRPr="00AE37F6">
        <w:rPr>
          <w:rFonts w:ascii="Tahoma" w:eastAsia="Times New Roman" w:hAnsi="Tahoma" w:cs="Tahoma"/>
          <w:sz w:val="24"/>
          <w:szCs w:val="24"/>
          <w:lang w:val="en-US" w:eastAsia="ru-RU"/>
        </w:rPr>
        <w:t>Fuel expenses</w:t>
      </w:r>
      <w:r w:rsidR="006C487E" w:rsidRPr="00AE37F6">
        <w:rPr>
          <w:rFonts w:ascii="Tahoma" w:eastAsia="Times New Roman" w:hAnsi="Tahoma" w:cs="Tahoma"/>
          <w:sz w:val="24"/>
          <w:szCs w:val="24"/>
          <w:lang w:val="en-US" w:eastAsia="ru-RU"/>
        </w:rPr>
        <w:t>,</w:t>
      </w:r>
      <w:r w:rsidRPr="00AE37F6">
        <w:rPr>
          <w:rFonts w:ascii="Tahoma" w:eastAsia="Times New Roman" w:hAnsi="Tahoma" w:cs="Tahoma"/>
          <w:sz w:val="24"/>
          <w:szCs w:val="24"/>
          <w:lang w:val="en-US" w:eastAsia="ru-RU"/>
        </w:rPr>
        <w:t xml:space="preserve"> which make up </w:t>
      </w:r>
      <w:r w:rsidR="008B2A31">
        <w:rPr>
          <w:rFonts w:ascii="Tahoma" w:eastAsia="Times New Roman" w:hAnsi="Tahoma" w:cs="Tahoma"/>
          <w:sz w:val="24"/>
          <w:szCs w:val="24"/>
          <w:lang w:val="en-US" w:eastAsia="ru-RU"/>
        </w:rPr>
        <w:t>3</w:t>
      </w:r>
      <w:r w:rsidR="00A934E3">
        <w:rPr>
          <w:rFonts w:ascii="Tahoma" w:eastAsia="Times New Roman" w:hAnsi="Tahoma" w:cs="Tahoma"/>
          <w:sz w:val="24"/>
          <w:szCs w:val="24"/>
          <w:lang w:val="en-US" w:eastAsia="ru-RU"/>
        </w:rPr>
        <w:t>1</w:t>
      </w:r>
      <w:r w:rsidRPr="00AE37F6">
        <w:rPr>
          <w:rFonts w:ascii="Tahoma" w:eastAsia="Times New Roman" w:hAnsi="Tahoma" w:cs="Tahoma"/>
          <w:sz w:val="24"/>
          <w:szCs w:val="24"/>
          <w:lang w:val="en-US" w:eastAsia="ru-RU"/>
        </w:rPr>
        <w:t>% of total expenses</w:t>
      </w:r>
      <w:r w:rsidR="006C487E" w:rsidRPr="00AE37F6">
        <w:rPr>
          <w:rFonts w:ascii="Tahoma" w:eastAsia="Times New Roman" w:hAnsi="Tahoma" w:cs="Tahoma"/>
          <w:sz w:val="24"/>
          <w:szCs w:val="24"/>
          <w:lang w:val="en-US" w:eastAsia="ru-RU"/>
        </w:rPr>
        <w:t>,</w:t>
      </w:r>
      <w:r w:rsidRPr="00AE37F6">
        <w:rPr>
          <w:rFonts w:ascii="Tahoma" w:eastAsia="Times New Roman" w:hAnsi="Tahoma" w:cs="Tahoma"/>
          <w:sz w:val="24"/>
          <w:szCs w:val="24"/>
          <w:lang w:val="en-US" w:eastAsia="ru-RU"/>
        </w:rPr>
        <w:t xml:space="preserve"> </w:t>
      </w:r>
      <w:r w:rsidR="00B77AD0">
        <w:rPr>
          <w:rFonts w:ascii="Tahoma" w:eastAsia="Times New Roman" w:hAnsi="Tahoma" w:cs="Tahoma"/>
          <w:sz w:val="24"/>
          <w:szCs w:val="24"/>
          <w:lang w:val="en-US" w:eastAsia="ru-RU"/>
        </w:rPr>
        <w:t>dec</w:t>
      </w:r>
      <w:r w:rsidR="00141E53" w:rsidRPr="00AE37F6">
        <w:rPr>
          <w:rFonts w:ascii="Tahoma" w:eastAsia="Times New Roman" w:hAnsi="Tahoma" w:cs="Tahoma"/>
          <w:sz w:val="24"/>
          <w:szCs w:val="24"/>
          <w:lang w:val="en-US" w:eastAsia="ru-RU"/>
        </w:rPr>
        <w:t xml:space="preserve">reased </w:t>
      </w:r>
      <w:r w:rsidR="005F4DF0" w:rsidRPr="00AE37F6">
        <w:rPr>
          <w:rFonts w:ascii="Tahoma" w:eastAsia="Times New Roman" w:hAnsi="Tahoma" w:cs="Tahoma"/>
          <w:sz w:val="24"/>
          <w:szCs w:val="24"/>
          <w:lang w:val="en-US" w:eastAsia="ru-RU"/>
        </w:rPr>
        <w:t>by</w:t>
      </w:r>
      <w:r w:rsidR="00141E53" w:rsidRPr="00AE37F6">
        <w:rPr>
          <w:rFonts w:ascii="Tahoma" w:eastAsia="Times New Roman" w:hAnsi="Tahoma" w:cs="Tahoma"/>
          <w:sz w:val="24"/>
          <w:szCs w:val="24"/>
          <w:lang w:val="en-US" w:eastAsia="ru-RU"/>
        </w:rPr>
        <w:t xml:space="preserve"> </w:t>
      </w:r>
      <w:r w:rsidR="00A934E3">
        <w:rPr>
          <w:rFonts w:ascii="Tahoma" w:eastAsia="Times New Roman" w:hAnsi="Tahoma" w:cs="Tahoma"/>
          <w:sz w:val="24"/>
          <w:szCs w:val="24"/>
          <w:lang w:val="en-US" w:eastAsia="ru-RU"/>
        </w:rPr>
        <w:t>2</w:t>
      </w:r>
      <w:r w:rsidR="00141E53" w:rsidRPr="00AE37F6">
        <w:rPr>
          <w:rFonts w:ascii="Tahoma" w:eastAsia="Times New Roman" w:hAnsi="Tahoma" w:cs="Tahoma"/>
          <w:sz w:val="24"/>
          <w:szCs w:val="24"/>
          <w:lang w:val="en-US" w:eastAsia="ru-RU"/>
        </w:rPr>
        <w:t xml:space="preserve">% to </w:t>
      </w:r>
      <w:r w:rsidR="00A934E3">
        <w:rPr>
          <w:rFonts w:ascii="Tahoma" w:eastAsia="Times New Roman" w:hAnsi="Tahoma" w:cs="Tahoma"/>
          <w:sz w:val="24"/>
          <w:szCs w:val="24"/>
          <w:lang w:val="en-US" w:eastAsia="ru-RU"/>
        </w:rPr>
        <w:t>31</w:t>
      </w:r>
      <w:r w:rsidR="00141E53" w:rsidRPr="00AE37F6">
        <w:rPr>
          <w:rFonts w:ascii="Tahoma" w:eastAsia="Times New Roman" w:hAnsi="Tahoma" w:cs="Tahoma"/>
          <w:sz w:val="24"/>
          <w:szCs w:val="24"/>
          <w:lang w:val="en-US" w:eastAsia="ru-RU"/>
        </w:rPr>
        <w:t>,</w:t>
      </w:r>
      <w:r w:rsidR="008B2A31">
        <w:rPr>
          <w:rFonts w:ascii="Tahoma" w:eastAsia="Times New Roman" w:hAnsi="Tahoma" w:cs="Tahoma"/>
          <w:sz w:val="24"/>
          <w:szCs w:val="24"/>
          <w:lang w:val="en-US" w:eastAsia="ru-RU"/>
        </w:rPr>
        <w:t>2</w:t>
      </w:r>
      <w:r w:rsidR="00A934E3">
        <w:rPr>
          <w:rFonts w:ascii="Tahoma" w:eastAsia="Times New Roman" w:hAnsi="Tahoma" w:cs="Tahoma"/>
          <w:sz w:val="24"/>
          <w:szCs w:val="24"/>
          <w:lang w:val="en-US" w:eastAsia="ru-RU"/>
        </w:rPr>
        <w:t>46</w:t>
      </w:r>
      <w:r w:rsidRPr="00AE37F6">
        <w:rPr>
          <w:rFonts w:ascii="Tahoma" w:eastAsia="Times New Roman" w:hAnsi="Tahoma" w:cs="Tahoma"/>
          <w:sz w:val="24"/>
          <w:szCs w:val="24"/>
          <w:lang w:val="en-US" w:eastAsia="ru-RU"/>
        </w:rPr>
        <w:t xml:space="preserve"> </w:t>
      </w:r>
      <w:r w:rsidR="002C260F" w:rsidRPr="00AE37F6">
        <w:rPr>
          <w:rFonts w:ascii="Tahoma" w:eastAsia="Times New Roman" w:hAnsi="Tahoma" w:cs="Tahoma"/>
          <w:sz w:val="24"/>
          <w:szCs w:val="24"/>
          <w:lang w:val="en-US" w:eastAsia="ru-RU"/>
        </w:rPr>
        <w:t>million</w:t>
      </w:r>
      <w:r w:rsidRPr="00AE37F6">
        <w:rPr>
          <w:rFonts w:ascii="Tahoma" w:eastAsia="Times New Roman" w:hAnsi="Tahoma" w:cs="Tahoma"/>
          <w:sz w:val="24"/>
          <w:szCs w:val="24"/>
          <w:lang w:val="en-US" w:eastAsia="ru-RU"/>
        </w:rPr>
        <w:t xml:space="preserve"> </w:t>
      </w:r>
      <w:r w:rsidR="001E36C5" w:rsidRPr="00AE37F6">
        <w:rPr>
          <w:rFonts w:ascii="Tahoma" w:eastAsia="Times New Roman" w:hAnsi="Tahoma" w:cs="Tahoma"/>
          <w:sz w:val="24"/>
          <w:szCs w:val="24"/>
          <w:lang w:val="en-US" w:eastAsia="ru-RU"/>
        </w:rPr>
        <w:t>RUB</w:t>
      </w:r>
      <w:r w:rsidR="006C487E" w:rsidRPr="00AE37F6">
        <w:rPr>
          <w:rFonts w:ascii="Tahoma" w:eastAsia="Times New Roman" w:hAnsi="Tahoma" w:cs="Tahoma"/>
          <w:sz w:val="24"/>
          <w:szCs w:val="24"/>
          <w:lang w:val="en-US" w:eastAsia="ru-RU"/>
        </w:rPr>
        <w:t>.</w:t>
      </w:r>
      <w:r w:rsidRPr="00AE37F6">
        <w:rPr>
          <w:rFonts w:ascii="Tahoma" w:eastAsia="Times New Roman" w:hAnsi="Tahoma" w:cs="Tahoma"/>
          <w:sz w:val="24"/>
          <w:szCs w:val="24"/>
          <w:lang w:val="en-US" w:eastAsia="ru-RU"/>
        </w:rPr>
        <w:t xml:space="preserve"> </w:t>
      </w:r>
      <w:r w:rsidR="006C487E" w:rsidRPr="00AE37F6">
        <w:rPr>
          <w:rFonts w:ascii="Tahoma" w:eastAsia="Times New Roman" w:hAnsi="Tahoma" w:cs="Tahoma"/>
          <w:sz w:val="24"/>
          <w:szCs w:val="24"/>
          <w:lang w:val="en-US" w:eastAsia="ru-RU"/>
        </w:rPr>
        <w:t xml:space="preserve"> This was </w:t>
      </w:r>
      <w:r w:rsidR="00AE37F6">
        <w:rPr>
          <w:rFonts w:ascii="Tahoma" w:eastAsia="Times New Roman" w:hAnsi="Tahoma" w:cs="Tahoma"/>
          <w:sz w:val="24"/>
          <w:szCs w:val="24"/>
          <w:lang w:val="en-US" w:eastAsia="ru-RU"/>
        </w:rPr>
        <w:t xml:space="preserve">on account of </w:t>
      </w:r>
      <w:r w:rsidRPr="00AE37F6">
        <w:rPr>
          <w:rFonts w:ascii="Tahoma" w:eastAsia="Times New Roman" w:hAnsi="Tahoma" w:cs="Tahoma"/>
          <w:sz w:val="24"/>
          <w:szCs w:val="24"/>
          <w:lang w:val="en-US" w:eastAsia="ru-RU"/>
        </w:rPr>
        <w:t xml:space="preserve">a </w:t>
      </w:r>
      <w:r w:rsidR="00A934E3">
        <w:rPr>
          <w:rFonts w:ascii="Tahoma" w:eastAsia="Times New Roman" w:hAnsi="Tahoma" w:cs="Tahoma"/>
          <w:sz w:val="24"/>
          <w:szCs w:val="24"/>
          <w:lang w:val="en-US" w:eastAsia="ru-RU"/>
        </w:rPr>
        <w:t>5</w:t>
      </w:r>
      <w:r w:rsidR="008B2A31">
        <w:rPr>
          <w:rFonts w:ascii="Tahoma" w:eastAsia="Times New Roman" w:hAnsi="Tahoma" w:cs="Tahoma"/>
          <w:sz w:val="24"/>
          <w:szCs w:val="24"/>
          <w:lang w:val="en-US" w:eastAsia="ru-RU"/>
        </w:rPr>
        <w:t>.</w:t>
      </w:r>
      <w:r w:rsidR="00A934E3">
        <w:rPr>
          <w:rFonts w:ascii="Tahoma" w:eastAsia="Times New Roman" w:hAnsi="Tahoma" w:cs="Tahoma"/>
          <w:sz w:val="24"/>
          <w:szCs w:val="24"/>
          <w:lang w:val="en-US" w:eastAsia="ru-RU"/>
        </w:rPr>
        <w:t>2</w:t>
      </w:r>
      <w:r w:rsidRPr="00AE37F6">
        <w:rPr>
          <w:rFonts w:ascii="Tahoma" w:eastAsia="Times New Roman" w:hAnsi="Tahoma" w:cs="Tahoma"/>
          <w:sz w:val="24"/>
          <w:szCs w:val="24"/>
          <w:lang w:val="en-US" w:eastAsia="ru-RU"/>
        </w:rPr>
        <w:t xml:space="preserve">% </w:t>
      </w:r>
      <w:r w:rsidR="00B77AD0">
        <w:rPr>
          <w:rFonts w:ascii="Tahoma" w:eastAsia="Times New Roman" w:hAnsi="Tahoma" w:cs="Tahoma"/>
          <w:sz w:val="24"/>
          <w:szCs w:val="24"/>
          <w:lang w:val="en-US" w:eastAsia="ru-RU"/>
        </w:rPr>
        <w:t>power output cut down</w:t>
      </w:r>
      <w:r w:rsidR="00D9417A">
        <w:rPr>
          <w:rFonts w:ascii="Tahoma" w:eastAsia="Times New Roman" w:hAnsi="Tahoma" w:cs="Tahoma"/>
          <w:sz w:val="24"/>
          <w:szCs w:val="24"/>
          <w:lang w:val="en-US" w:eastAsia="ru-RU"/>
        </w:rPr>
        <w:t xml:space="preserve">, </w:t>
      </w:r>
      <w:r w:rsidR="00DA34A8">
        <w:rPr>
          <w:rFonts w:ascii="Tahoma" w:eastAsia="Times New Roman" w:hAnsi="Tahoma" w:cs="Tahoma"/>
          <w:sz w:val="24"/>
          <w:szCs w:val="24"/>
          <w:lang w:val="en-US" w:eastAsia="ru-RU"/>
        </w:rPr>
        <w:t>accompanied by</w:t>
      </w:r>
      <w:r w:rsidR="008B2A31">
        <w:rPr>
          <w:rFonts w:ascii="Tahoma" w:eastAsia="Times New Roman" w:hAnsi="Tahoma" w:cs="Tahoma"/>
          <w:sz w:val="24"/>
          <w:szCs w:val="24"/>
          <w:lang w:val="en-US" w:eastAsia="ru-RU"/>
        </w:rPr>
        <w:t xml:space="preserve"> an increase in power output in combined heat and power mode.</w:t>
      </w:r>
    </w:p>
    <w:p w:rsidR="00D9417A" w:rsidRPr="00AE37F6" w:rsidRDefault="00D9417A" w:rsidP="00595970">
      <w:pPr>
        <w:spacing w:after="0" w:line="240" w:lineRule="auto"/>
        <w:jc w:val="both"/>
        <w:rPr>
          <w:rFonts w:ascii="Tahoma" w:eastAsia="Times New Roman" w:hAnsi="Tahoma" w:cs="Tahoma"/>
          <w:sz w:val="24"/>
          <w:szCs w:val="24"/>
          <w:lang w:val="en-US" w:eastAsia="ru-RU"/>
        </w:rPr>
      </w:pPr>
    </w:p>
    <w:p w:rsidR="009006C0" w:rsidRDefault="009006C0" w:rsidP="00595970">
      <w:pPr>
        <w:spacing w:after="0" w:line="240" w:lineRule="auto"/>
        <w:jc w:val="both"/>
        <w:rPr>
          <w:rFonts w:ascii="Tahoma" w:eastAsia="Times New Roman" w:hAnsi="Tahoma" w:cs="Tahoma"/>
          <w:sz w:val="24"/>
          <w:szCs w:val="24"/>
          <w:lang w:val="en-US" w:eastAsia="ru-RU"/>
        </w:rPr>
      </w:pPr>
      <w:r w:rsidRPr="00AE37F6">
        <w:rPr>
          <w:rFonts w:ascii="Tahoma" w:eastAsia="Times New Roman" w:hAnsi="Tahoma" w:cs="Tahoma"/>
          <w:sz w:val="24"/>
          <w:szCs w:val="24"/>
          <w:lang w:val="en-US" w:eastAsia="ru-RU"/>
        </w:rPr>
        <w:t xml:space="preserve">A </w:t>
      </w:r>
      <w:r w:rsidR="00A934E3">
        <w:rPr>
          <w:rFonts w:ascii="Tahoma" w:eastAsia="Times New Roman" w:hAnsi="Tahoma" w:cs="Tahoma"/>
          <w:sz w:val="24"/>
          <w:szCs w:val="24"/>
          <w:lang w:val="en-US" w:eastAsia="ru-RU"/>
        </w:rPr>
        <w:t>7</w:t>
      </w:r>
      <w:r w:rsidR="00FD0425" w:rsidRPr="00AE37F6">
        <w:rPr>
          <w:rFonts w:ascii="Tahoma" w:eastAsia="Times New Roman" w:hAnsi="Tahoma" w:cs="Tahoma"/>
          <w:sz w:val="24"/>
          <w:szCs w:val="24"/>
          <w:lang w:val="en-US" w:eastAsia="ru-RU"/>
        </w:rPr>
        <w:t>%</w:t>
      </w:r>
      <w:r w:rsidR="00FD3A33" w:rsidRPr="00AE37F6">
        <w:rPr>
          <w:rFonts w:ascii="Tahoma" w:eastAsia="Times New Roman" w:hAnsi="Tahoma" w:cs="Tahoma"/>
          <w:sz w:val="24"/>
          <w:szCs w:val="24"/>
          <w:lang w:val="en-US" w:eastAsia="ru-RU"/>
        </w:rPr>
        <w:t xml:space="preserve"> </w:t>
      </w:r>
      <w:r w:rsidRPr="00AE37F6">
        <w:rPr>
          <w:rFonts w:ascii="Tahoma" w:eastAsia="Times New Roman" w:hAnsi="Tahoma" w:cs="Tahoma"/>
          <w:sz w:val="24"/>
          <w:szCs w:val="24"/>
          <w:lang w:val="en-US" w:eastAsia="ru-RU"/>
        </w:rPr>
        <w:t xml:space="preserve">rise in employee </w:t>
      </w:r>
      <w:r w:rsidR="00D77D63">
        <w:rPr>
          <w:rFonts w:ascii="Tahoma" w:eastAsia="Times New Roman" w:hAnsi="Tahoma" w:cs="Tahoma"/>
          <w:sz w:val="24"/>
          <w:szCs w:val="24"/>
          <w:lang w:val="en-US" w:eastAsia="ru-RU"/>
        </w:rPr>
        <w:t>compensation</w:t>
      </w:r>
      <w:r w:rsidRPr="00AE37F6">
        <w:rPr>
          <w:rFonts w:ascii="Tahoma" w:eastAsia="Times New Roman" w:hAnsi="Tahoma" w:cs="Tahoma"/>
          <w:sz w:val="24"/>
          <w:szCs w:val="24"/>
          <w:lang w:val="en-US" w:eastAsia="ru-RU"/>
        </w:rPr>
        <w:t xml:space="preserve"> (</w:t>
      </w:r>
      <w:r w:rsidR="00A934E3">
        <w:rPr>
          <w:rFonts w:ascii="Tahoma" w:eastAsia="Times New Roman" w:hAnsi="Tahoma" w:cs="Tahoma"/>
          <w:sz w:val="24"/>
          <w:szCs w:val="24"/>
          <w:lang w:val="en-US" w:eastAsia="ru-RU"/>
        </w:rPr>
        <w:t>30</w:t>
      </w:r>
      <w:r w:rsidRPr="00AE37F6">
        <w:rPr>
          <w:rFonts w:ascii="Tahoma" w:eastAsia="Times New Roman" w:hAnsi="Tahoma" w:cs="Tahoma"/>
          <w:sz w:val="24"/>
          <w:szCs w:val="24"/>
          <w:lang w:val="en-US" w:eastAsia="ru-RU"/>
        </w:rPr>
        <w:t xml:space="preserve">% of total expenses) </w:t>
      </w:r>
      <w:r w:rsidR="000D37EE" w:rsidRPr="00AE37F6">
        <w:rPr>
          <w:rFonts w:ascii="Tahoma" w:eastAsia="Times New Roman" w:hAnsi="Tahoma" w:cs="Tahoma"/>
          <w:sz w:val="24"/>
          <w:szCs w:val="24"/>
          <w:lang w:val="en-US" w:eastAsia="ru-RU"/>
        </w:rPr>
        <w:t xml:space="preserve">amounting </w:t>
      </w:r>
      <w:r w:rsidR="003A103F" w:rsidRPr="00AE37F6">
        <w:rPr>
          <w:rFonts w:ascii="Tahoma" w:eastAsia="Times New Roman" w:hAnsi="Tahoma" w:cs="Tahoma"/>
          <w:sz w:val="24"/>
          <w:szCs w:val="24"/>
          <w:lang w:val="en-US" w:eastAsia="ru-RU"/>
        </w:rPr>
        <w:t xml:space="preserve">to </w:t>
      </w:r>
      <w:r w:rsidR="008B2A31">
        <w:rPr>
          <w:rFonts w:ascii="Tahoma" w:eastAsia="Times New Roman" w:hAnsi="Tahoma" w:cs="Tahoma"/>
          <w:sz w:val="24"/>
          <w:szCs w:val="24"/>
          <w:lang w:val="en-US" w:eastAsia="ru-RU"/>
        </w:rPr>
        <w:t>2</w:t>
      </w:r>
      <w:r w:rsidR="00A934E3">
        <w:rPr>
          <w:rFonts w:ascii="Tahoma" w:eastAsia="Times New Roman" w:hAnsi="Tahoma" w:cs="Tahoma"/>
          <w:sz w:val="24"/>
          <w:szCs w:val="24"/>
          <w:lang w:val="en-US" w:eastAsia="ru-RU"/>
        </w:rPr>
        <w:t>9</w:t>
      </w:r>
      <w:r w:rsidR="003A103F" w:rsidRPr="00AE37F6">
        <w:rPr>
          <w:rFonts w:ascii="Tahoma" w:eastAsia="Times New Roman" w:hAnsi="Tahoma" w:cs="Tahoma"/>
          <w:sz w:val="24"/>
          <w:szCs w:val="24"/>
          <w:lang w:val="en-US" w:eastAsia="ru-RU"/>
        </w:rPr>
        <w:t>,</w:t>
      </w:r>
      <w:r w:rsidR="00A934E3">
        <w:rPr>
          <w:rFonts w:ascii="Tahoma" w:eastAsia="Times New Roman" w:hAnsi="Tahoma" w:cs="Tahoma"/>
          <w:sz w:val="24"/>
          <w:szCs w:val="24"/>
          <w:lang w:val="en-US" w:eastAsia="ru-RU"/>
        </w:rPr>
        <w:t>808</w:t>
      </w:r>
      <w:r w:rsidR="00646E26">
        <w:rPr>
          <w:rFonts w:ascii="Tahoma" w:eastAsia="Times New Roman" w:hAnsi="Tahoma" w:cs="Tahoma"/>
          <w:sz w:val="24"/>
          <w:szCs w:val="24"/>
          <w:lang w:val="en-US" w:eastAsia="ru-RU"/>
        </w:rPr>
        <w:t> </w:t>
      </w:r>
      <w:r w:rsidR="00646E26" w:rsidRPr="00AE37F6">
        <w:rPr>
          <w:rFonts w:ascii="Tahoma" w:eastAsia="Times New Roman" w:hAnsi="Tahoma" w:cs="Tahoma"/>
          <w:sz w:val="24"/>
          <w:szCs w:val="24"/>
          <w:lang w:val="en-US" w:eastAsia="ru-RU"/>
        </w:rPr>
        <w:t xml:space="preserve">million RUB </w:t>
      </w:r>
      <w:r w:rsidRPr="00AE37F6">
        <w:rPr>
          <w:rFonts w:ascii="Tahoma" w:eastAsia="Times New Roman" w:hAnsi="Tahoma" w:cs="Tahoma"/>
          <w:sz w:val="24"/>
          <w:szCs w:val="24"/>
          <w:lang w:val="en-US" w:eastAsia="ru-RU"/>
        </w:rPr>
        <w:t xml:space="preserve">can be explained by the </w:t>
      </w:r>
      <w:r w:rsidR="00D77D63">
        <w:rPr>
          <w:rFonts w:ascii="Tahoma" w:eastAsia="Times New Roman" w:hAnsi="Tahoma" w:cs="Tahoma"/>
          <w:sz w:val="24"/>
          <w:szCs w:val="24"/>
          <w:lang w:val="en-US" w:eastAsia="ru-RU"/>
        </w:rPr>
        <w:t>indexation of employee wages and salaries within the Group</w:t>
      </w:r>
      <w:r w:rsidRPr="00AE37F6">
        <w:rPr>
          <w:rFonts w:ascii="Tahoma" w:eastAsia="Times New Roman" w:hAnsi="Tahoma" w:cs="Tahoma"/>
          <w:sz w:val="24"/>
          <w:szCs w:val="24"/>
          <w:lang w:val="en-US" w:eastAsia="ru-RU"/>
        </w:rPr>
        <w:t>.</w:t>
      </w:r>
    </w:p>
    <w:p w:rsidR="008B2A31" w:rsidRDefault="008B2A31" w:rsidP="00595970">
      <w:pPr>
        <w:spacing w:after="0" w:line="240" w:lineRule="auto"/>
        <w:jc w:val="both"/>
        <w:rPr>
          <w:rFonts w:ascii="Tahoma" w:eastAsia="Times New Roman" w:hAnsi="Tahoma" w:cs="Tahoma"/>
          <w:sz w:val="24"/>
          <w:szCs w:val="24"/>
          <w:lang w:val="en-US" w:eastAsia="ru-RU"/>
        </w:rPr>
      </w:pPr>
    </w:p>
    <w:p w:rsidR="008B2A31" w:rsidRDefault="008B2A31"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A </w:t>
      </w:r>
      <w:r w:rsidR="00A934E3">
        <w:rPr>
          <w:rFonts w:ascii="Tahoma" w:eastAsia="Times New Roman" w:hAnsi="Tahoma" w:cs="Tahoma"/>
          <w:sz w:val="24"/>
          <w:szCs w:val="24"/>
          <w:lang w:val="en-US" w:eastAsia="ru-RU"/>
        </w:rPr>
        <w:t>56</w:t>
      </w:r>
      <w:r>
        <w:rPr>
          <w:rFonts w:ascii="Tahoma" w:eastAsia="Times New Roman" w:hAnsi="Tahoma" w:cs="Tahoma"/>
          <w:sz w:val="24"/>
          <w:szCs w:val="24"/>
          <w:lang w:val="en-US" w:eastAsia="ru-RU"/>
        </w:rPr>
        <w:t xml:space="preserve">% growth in services of subcontracting companies is the result of the increase in works JSC </w:t>
      </w:r>
      <w:r w:rsidRPr="008B2A31">
        <w:rPr>
          <w:rFonts w:ascii="Tahoma" w:eastAsia="Times New Roman" w:hAnsi="Tahoma" w:cs="Tahoma"/>
          <w:sz w:val="24"/>
          <w:szCs w:val="24"/>
          <w:lang w:val="en-US" w:eastAsia="ru-RU"/>
        </w:rPr>
        <w:t xml:space="preserve">“Khabarovsk repairs and installation company” under the </w:t>
      </w:r>
      <w:r>
        <w:rPr>
          <w:rFonts w:ascii="Tahoma" w:eastAsia="Times New Roman" w:hAnsi="Tahoma" w:cs="Tahoma"/>
          <w:sz w:val="24"/>
          <w:szCs w:val="24"/>
          <w:lang w:val="en-US" w:eastAsia="ru-RU"/>
        </w:rPr>
        <w:t xml:space="preserve">construction </w:t>
      </w:r>
      <w:r w:rsidRPr="008B2A31">
        <w:rPr>
          <w:rFonts w:ascii="Tahoma" w:eastAsia="Times New Roman" w:hAnsi="Tahoma" w:cs="Tahoma"/>
          <w:sz w:val="24"/>
          <w:szCs w:val="24"/>
          <w:lang w:val="en-US" w:eastAsia="ru-RU"/>
        </w:rPr>
        <w:t xml:space="preserve">contracts with the </w:t>
      </w:r>
      <w:proofErr w:type="spellStart"/>
      <w:r w:rsidRPr="008B2A31">
        <w:rPr>
          <w:rFonts w:ascii="Tahoma" w:eastAsia="Times New Roman" w:hAnsi="Tahoma" w:cs="Tahoma"/>
          <w:sz w:val="24"/>
          <w:szCs w:val="24"/>
          <w:lang w:val="en-US" w:eastAsia="ru-RU"/>
        </w:rPr>
        <w:t>Urga</w:t>
      </w:r>
      <w:r w:rsidR="00646E26">
        <w:rPr>
          <w:rFonts w:ascii="Tahoma" w:eastAsia="Times New Roman" w:hAnsi="Tahoma" w:cs="Tahoma"/>
          <w:sz w:val="24"/>
          <w:szCs w:val="24"/>
          <w:lang w:val="en-US" w:eastAsia="ru-RU"/>
        </w:rPr>
        <w:t>l</w:t>
      </w:r>
      <w:r w:rsidRPr="008B2A31">
        <w:rPr>
          <w:rFonts w:ascii="Tahoma" w:eastAsia="Times New Roman" w:hAnsi="Tahoma" w:cs="Tahoma"/>
          <w:sz w:val="24"/>
          <w:szCs w:val="24"/>
          <w:lang w:val="en-US" w:eastAsia="ru-RU"/>
        </w:rPr>
        <w:t>ugol</w:t>
      </w:r>
      <w:proofErr w:type="spellEnd"/>
      <w:r w:rsidRPr="008B2A31">
        <w:rPr>
          <w:rFonts w:ascii="Tahoma" w:eastAsia="Times New Roman" w:hAnsi="Tahoma" w:cs="Tahoma"/>
          <w:sz w:val="24"/>
          <w:szCs w:val="24"/>
          <w:lang w:val="en-US" w:eastAsia="ru-RU"/>
        </w:rPr>
        <w:t xml:space="preserve"> company, and the Khabarovsk oil refinery</w:t>
      </w:r>
      <w:r w:rsidR="00A934E3">
        <w:rPr>
          <w:rFonts w:ascii="Tahoma" w:eastAsia="Times New Roman" w:hAnsi="Tahoma" w:cs="Tahoma"/>
          <w:sz w:val="24"/>
          <w:szCs w:val="24"/>
          <w:lang w:val="en-US" w:eastAsia="ru-RU"/>
        </w:rPr>
        <w:t>.</w:t>
      </w:r>
    </w:p>
    <w:p w:rsidR="00A934E3" w:rsidRDefault="00A934E3" w:rsidP="00595970">
      <w:pPr>
        <w:spacing w:after="0" w:line="240" w:lineRule="auto"/>
        <w:jc w:val="both"/>
        <w:rPr>
          <w:rFonts w:ascii="Tahoma" w:eastAsia="Times New Roman" w:hAnsi="Tahoma" w:cs="Tahoma"/>
          <w:sz w:val="24"/>
          <w:szCs w:val="24"/>
          <w:lang w:val="en-US" w:eastAsia="ru-RU"/>
        </w:rPr>
      </w:pPr>
    </w:p>
    <w:p w:rsidR="00A934E3" w:rsidRDefault="00A934E3"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The major “non-cash” factors which influenced the expenses were t</w:t>
      </w:r>
      <w:r w:rsidRPr="00A934E3">
        <w:rPr>
          <w:rFonts w:ascii="Tahoma" w:eastAsia="Times New Roman" w:hAnsi="Tahoma" w:cs="Tahoma"/>
          <w:color w:val="000000"/>
          <w:sz w:val="24"/>
          <w:szCs w:val="24"/>
          <w:lang w:val="en-US" w:eastAsia="ru-RU"/>
        </w:rPr>
        <w:t xml:space="preserve">he </w:t>
      </w:r>
      <w:proofErr w:type="gramStart"/>
      <w:r w:rsidRPr="00A934E3">
        <w:rPr>
          <w:rFonts w:ascii="Tahoma" w:eastAsia="Times New Roman" w:hAnsi="Tahoma" w:cs="Tahoma"/>
          <w:color w:val="000000"/>
          <w:sz w:val="24"/>
          <w:szCs w:val="24"/>
          <w:lang w:val="en-US" w:eastAsia="ru-RU"/>
        </w:rPr>
        <w:t xml:space="preserve">revision of the terms of the private pension scheme for the employees of the JSC “FEGC” leading to the income of 1,609 </w:t>
      </w:r>
      <w:proofErr w:type="spellStart"/>
      <w:r w:rsidRPr="00A934E3">
        <w:rPr>
          <w:rFonts w:ascii="Tahoma" w:eastAsia="Times New Roman" w:hAnsi="Tahoma" w:cs="Tahoma"/>
          <w:color w:val="000000"/>
          <w:sz w:val="24"/>
          <w:szCs w:val="24"/>
          <w:lang w:val="en-US" w:eastAsia="ru-RU"/>
        </w:rPr>
        <w:t>mln</w:t>
      </w:r>
      <w:proofErr w:type="spellEnd"/>
      <w:r w:rsidRPr="00A934E3">
        <w:rPr>
          <w:rFonts w:ascii="Tahoma" w:eastAsia="Times New Roman" w:hAnsi="Tahoma" w:cs="Tahoma"/>
          <w:color w:val="000000"/>
          <w:sz w:val="24"/>
          <w:szCs w:val="24"/>
          <w:lang w:val="en-US" w:eastAsia="ru-RU"/>
        </w:rPr>
        <w:t xml:space="preserve"> RUB</w:t>
      </w:r>
      <w:proofErr w:type="gramEnd"/>
      <w:r>
        <w:rPr>
          <w:rFonts w:ascii="Tahoma" w:eastAsia="Times New Roman" w:hAnsi="Tahoma" w:cs="Tahoma"/>
          <w:color w:val="000000"/>
          <w:sz w:val="24"/>
          <w:szCs w:val="24"/>
          <w:lang w:val="en-US" w:eastAsia="ru-RU"/>
        </w:rPr>
        <w:t xml:space="preserve">, and </w:t>
      </w:r>
      <w:r w:rsidRPr="00A934E3">
        <w:rPr>
          <w:rFonts w:ascii="Tahoma" w:eastAsia="Times New Roman" w:hAnsi="Tahoma" w:cs="Tahoma"/>
          <w:color w:val="000000"/>
          <w:sz w:val="24"/>
          <w:szCs w:val="24"/>
          <w:lang w:val="en-US" w:eastAsia="ru-RU"/>
        </w:rPr>
        <w:t>the reduction by 8</w:t>
      </w:r>
      <w:r>
        <w:rPr>
          <w:rFonts w:ascii="Tahoma" w:eastAsia="Times New Roman" w:hAnsi="Tahoma" w:cs="Tahoma"/>
          <w:color w:val="000000"/>
          <w:sz w:val="24"/>
          <w:szCs w:val="24"/>
          <w:lang w:val="en-US" w:eastAsia="ru-RU"/>
        </w:rPr>
        <w:t>8</w:t>
      </w:r>
      <w:r w:rsidRPr="00A934E3">
        <w:rPr>
          <w:rFonts w:ascii="Tahoma" w:eastAsia="Times New Roman" w:hAnsi="Tahoma" w:cs="Tahoma"/>
          <w:color w:val="000000"/>
          <w:sz w:val="24"/>
          <w:szCs w:val="24"/>
          <w:lang w:val="en-US" w:eastAsia="ru-RU"/>
        </w:rPr>
        <w:t xml:space="preserve">% of the impairment for accounts receivable down to </w:t>
      </w:r>
      <w:r>
        <w:rPr>
          <w:rFonts w:ascii="Tahoma" w:eastAsia="Times New Roman" w:hAnsi="Tahoma" w:cs="Tahoma"/>
          <w:color w:val="000000"/>
          <w:sz w:val="24"/>
          <w:szCs w:val="24"/>
          <w:lang w:val="en-US" w:eastAsia="ru-RU"/>
        </w:rPr>
        <w:t>373</w:t>
      </w:r>
      <w:r w:rsidRPr="00A934E3">
        <w:rPr>
          <w:rFonts w:ascii="Tahoma" w:eastAsia="Times New Roman" w:hAnsi="Tahoma" w:cs="Tahoma"/>
          <w:color w:val="000000"/>
          <w:sz w:val="24"/>
          <w:szCs w:val="24"/>
          <w:lang w:val="en-US" w:eastAsia="ru-RU"/>
        </w:rPr>
        <w:t xml:space="preserve"> </w:t>
      </w:r>
      <w:proofErr w:type="spellStart"/>
      <w:r w:rsidRPr="00A934E3">
        <w:rPr>
          <w:rFonts w:ascii="Tahoma" w:eastAsia="Times New Roman" w:hAnsi="Tahoma" w:cs="Tahoma"/>
          <w:color w:val="000000"/>
          <w:sz w:val="24"/>
          <w:szCs w:val="24"/>
          <w:lang w:val="en-US" w:eastAsia="ru-RU"/>
        </w:rPr>
        <w:t>mln</w:t>
      </w:r>
      <w:proofErr w:type="spellEnd"/>
      <w:r w:rsidRPr="00A934E3">
        <w:rPr>
          <w:rFonts w:ascii="Tahoma" w:eastAsia="Times New Roman" w:hAnsi="Tahoma" w:cs="Tahoma"/>
          <w:color w:val="000000"/>
          <w:sz w:val="24"/>
          <w:szCs w:val="24"/>
          <w:lang w:val="en-US" w:eastAsia="ru-RU"/>
        </w:rPr>
        <w:t xml:space="preserve"> RUB.</w:t>
      </w:r>
    </w:p>
    <w:p w:rsidR="0095096C" w:rsidRDefault="0095096C" w:rsidP="00595970">
      <w:pPr>
        <w:spacing w:after="0" w:line="240" w:lineRule="auto"/>
        <w:jc w:val="both"/>
        <w:rPr>
          <w:rFonts w:ascii="Tahoma" w:eastAsia="Times New Roman" w:hAnsi="Tahoma" w:cs="Tahoma"/>
          <w:sz w:val="24"/>
          <w:szCs w:val="24"/>
          <w:lang w:val="en-US" w:eastAsia="ru-RU"/>
        </w:rPr>
      </w:pPr>
    </w:p>
    <w:p w:rsidR="00595970" w:rsidRPr="00595970" w:rsidRDefault="009006C0" w:rsidP="00595970">
      <w:pPr>
        <w:spacing w:after="0" w:line="240" w:lineRule="auto"/>
        <w:jc w:val="both"/>
        <w:rPr>
          <w:rFonts w:ascii="Tahoma" w:eastAsia="Times New Roman" w:hAnsi="Tahoma" w:cs="Tahoma"/>
          <w:sz w:val="24"/>
          <w:szCs w:val="24"/>
          <w:lang w:val="en-US" w:eastAsia="ru-RU"/>
        </w:rPr>
      </w:pPr>
      <w:r w:rsidRPr="002E0256">
        <w:rPr>
          <w:rFonts w:ascii="Tahoma" w:eastAsia="Times New Roman" w:hAnsi="Tahoma" w:cs="Tahoma"/>
          <w:b/>
          <w:sz w:val="24"/>
          <w:szCs w:val="24"/>
          <w:lang w:val="en-US" w:eastAsia="ru-RU"/>
        </w:rPr>
        <w:t>Key expenses</w:t>
      </w:r>
      <w:r>
        <w:rPr>
          <w:rFonts w:ascii="Tahoma" w:eastAsia="Times New Roman" w:hAnsi="Tahoma" w:cs="Tahoma"/>
          <w:sz w:val="24"/>
          <w:szCs w:val="24"/>
          <w:lang w:val="en-US" w:eastAsia="ru-RU"/>
        </w:rPr>
        <w:t xml:space="preserve"> (</w:t>
      </w:r>
      <w:r w:rsidR="00881F01" w:rsidRPr="00881F01">
        <w:rPr>
          <w:rFonts w:ascii="Tahoma" w:eastAsia="Times New Roman" w:hAnsi="Tahoma" w:cs="Tahoma"/>
          <w:bCs/>
          <w:i/>
          <w:sz w:val="24"/>
          <w:szCs w:val="24"/>
          <w:lang w:val="en-US" w:eastAsia="ru-RU"/>
        </w:rPr>
        <w:t>RUB</w:t>
      </w:r>
      <w:r w:rsidR="00881F01">
        <w:rPr>
          <w:rFonts w:ascii="Tahoma" w:eastAsia="Times New Roman" w:hAnsi="Tahoma" w:cs="Tahoma"/>
          <w:bCs/>
          <w:i/>
          <w:sz w:val="24"/>
          <w:szCs w:val="24"/>
          <w:lang w:val="en-US" w:eastAsia="ru-RU"/>
        </w:rPr>
        <w:t xml:space="preserve"> in</w:t>
      </w:r>
      <w:r w:rsidR="00881F01" w:rsidRPr="00881F01">
        <w:rPr>
          <w:rFonts w:ascii="Tahoma" w:eastAsia="Times New Roman" w:hAnsi="Tahoma" w:cs="Tahoma"/>
          <w:bCs/>
          <w:i/>
          <w:sz w:val="24"/>
          <w:szCs w:val="24"/>
          <w:lang w:val="en-US" w:eastAsia="ru-RU"/>
        </w:rPr>
        <w:t xml:space="preserve"> millions</w:t>
      </w:r>
      <w:r>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4"/>
        <w:gridCol w:w="1843"/>
        <w:gridCol w:w="1701"/>
        <w:gridCol w:w="1134"/>
      </w:tblGrid>
      <w:tr w:rsidR="00A934E3" w:rsidRPr="00BE0E4E" w:rsidTr="0080790F">
        <w:tc>
          <w:tcPr>
            <w:tcW w:w="2464" w:type="pct"/>
            <w:tcMar>
              <w:top w:w="0" w:type="dxa"/>
              <w:left w:w="150" w:type="dxa"/>
              <w:bottom w:w="0" w:type="dxa"/>
              <w:right w:w="150" w:type="dxa"/>
            </w:tcMar>
            <w:hideMark/>
          </w:tcPr>
          <w:p w:rsidR="00A934E3" w:rsidRPr="00595970" w:rsidRDefault="00A934E3" w:rsidP="00595970">
            <w:pPr>
              <w:spacing w:after="0" w:line="240" w:lineRule="auto"/>
              <w:jc w:val="center"/>
              <w:rPr>
                <w:rFonts w:ascii="Tahoma" w:eastAsia="Times New Roman" w:hAnsi="Tahoma" w:cs="Tahoma"/>
                <w:color w:val="51657E"/>
                <w:sz w:val="24"/>
                <w:szCs w:val="24"/>
                <w:lang w:val="en-US" w:eastAsia="ru-RU"/>
              </w:rPr>
            </w:pPr>
          </w:p>
        </w:tc>
        <w:tc>
          <w:tcPr>
            <w:tcW w:w="999" w:type="pct"/>
            <w:tcMar>
              <w:top w:w="0" w:type="dxa"/>
              <w:left w:w="150" w:type="dxa"/>
              <w:bottom w:w="0" w:type="dxa"/>
              <w:right w:w="150" w:type="dxa"/>
            </w:tcMar>
            <w:hideMark/>
          </w:tcPr>
          <w:p w:rsidR="00A934E3" w:rsidRPr="00305588" w:rsidRDefault="00A934E3" w:rsidP="006713B9">
            <w:pPr>
              <w:spacing w:after="0" w:line="240" w:lineRule="auto"/>
              <w:rPr>
                <w:rFonts w:ascii="Tahoma" w:eastAsia="Times New Roman" w:hAnsi="Tahoma" w:cs="Tahoma"/>
                <w:b/>
                <w:color w:val="000000"/>
                <w:sz w:val="24"/>
                <w:szCs w:val="24"/>
                <w:lang w:val="en-US" w:eastAsia="ru-RU"/>
              </w:rPr>
            </w:pPr>
            <w:r>
              <w:rPr>
                <w:rFonts w:ascii="Tahoma" w:eastAsia="Times New Roman" w:hAnsi="Tahoma" w:cs="Tahoma"/>
                <w:b/>
                <w:color w:val="000000"/>
                <w:sz w:val="24"/>
                <w:szCs w:val="24"/>
                <w:lang w:val="en-US" w:eastAsia="ru-RU"/>
              </w:rPr>
              <w:t xml:space="preserve">9 </w:t>
            </w:r>
            <w:r w:rsidRPr="00305588">
              <w:rPr>
                <w:rFonts w:ascii="Tahoma" w:eastAsia="Times New Roman" w:hAnsi="Tahoma" w:cs="Tahoma"/>
                <w:b/>
                <w:color w:val="000000"/>
                <w:sz w:val="24"/>
                <w:szCs w:val="24"/>
                <w:lang w:val="en-US" w:eastAsia="ru-RU"/>
              </w:rPr>
              <w:t>m</w:t>
            </w:r>
            <w:r>
              <w:rPr>
                <w:rFonts w:ascii="Tahoma" w:eastAsia="Times New Roman" w:hAnsi="Tahoma" w:cs="Tahoma"/>
                <w:b/>
                <w:color w:val="000000"/>
                <w:sz w:val="24"/>
                <w:szCs w:val="24"/>
                <w:lang w:val="en-US" w:eastAsia="ru-RU"/>
              </w:rPr>
              <w:t>onths</w:t>
            </w:r>
            <w:r w:rsidRPr="00305588">
              <w:rPr>
                <w:rFonts w:ascii="Tahoma" w:eastAsia="Times New Roman" w:hAnsi="Tahoma" w:cs="Tahoma"/>
                <w:b/>
                <w:color w:val="000000"/>
                <w:sz w:val="24"/>
                <w:szCs w:val="24"/>
                <w:lang w:val="en-US" w:eastAsia="ru-RU"/>
              </w:rPr>
              <w:t xml:space="preserve"> </w:t>
            </w:r>
            <w:r>
              <w:rPr>
                <w:rFonts w:ascii="Tahoma" w:eastAsia="Times New Roman" w:hAnsi="Tahoma" w:cs="Tahoma"/>
                <w:b/>
                <w:color w:val="000000"/>
                <w:sz w:val="24"/>
                <w:szCs w:val="24"/>
                <w:lang w:val="en-US" w:eastAsia="ru-RU"/>
              </w:rPr>
              <w:t>ended September 30, 2013</w:t>
            </w:r>
          </w:p>
        </w:tc>
        <w:tc>
          <w:tcPr>
            <w:tcW w:w="922" w:type="pct"/>
            <w:tcMar>
              <w:top w:w="0" w:type="dxa"/>
              <w:left w:w="150" w:type="dxa"/>
              <w:bottom w:w="0" w:type="dxa"/>
              <w:right w:w="150" w:type="dxa"/>
            </w:tcMar>
            <w:hideMark/>
          </w:tcPr>
          <w:p w:rsidR="00A934E3" w:rsidRPr="00305588" w:rsidRDefault="00A934E3" w:rsidP="006713B9">
            <w:pPr>
              <w:spacing w:after="0" w:line="240" w:lineRule="auto"/>
              <w:rPr>
                <w:rFonts w:ascii="Tahoma" w:eastAsia="Times New Roman" w:hAnsi="Tahoma" w:cs="Tahoma"/>
                <w:b/>
                <w:color w:val="000000"/>
                <w:sz w:val="24"/>
                <w:szCs w:val="24"/>
                <w:lang w:val="en-US" w:eastAsia="ru-RU"/>
              </w:rPr>
            </w:pPr>
            <w:r w:rsidRPr="00581A64">
              <w:rPr>
                <w:rFonts w:ascii="Tahoma" w:eastAsia="Times New Roman" w:hAnsi="Tahoma" w:cs="Tahoma"/>
                <w:b/>
                <w:color w:val="000000"/>
                <w:sz w:val="24"/>
                <w:szCs w:val="24"/>
                <w:lang w:val="en-US" w:eastAsia="ru-RU"/>
              </w:rPr>
              <w:t>9</w:t>
            </w:r>
            <w:r>
              <w:rPr>
                <w:rFonts w:ascii="Tahoma" w:eastAsia="Times New Roman" w:hAnsi="Tahoma" w:cs="Tahoma"/>
                <w:b/>
                <w:color w:val="000000"/>
                <w:sz w:val="24"/>
                <w:szCs w:val="24"/>
                <w:lang w:val="en-US" w:eastAsia="ru-RU"/>
              </w:rPr>
              <w:t xml:space="preserve"> </w:t>
            </w:r>
            <w:r w:rsidRPr="00581A64">
              <w:rPr>
                <w:rFonts w:ascii="Tahoma" w:eastAsia="Times New Roman" w:hAnsi="Tahoma" w:cs="Tahoma"/>
                <w:b/>
                <w:color w:val="000000"/>
                <w:sz w:val="24"/>
                <w:szCs w:val="24"/>
                <w:lang w:val="en-US" w:eastAsia="ru-RU"/>
              </w:rPr>
              <w:t xml:space="preserve">months ended September 30, </w:t>
            </w:r>
            <w:r w:rsidRPr="00305588">
              <w:rPr>
                <w:rFonts w:ascii="Tahoma" w:eastAsia="Times New Roman" w:hAnsi="Tahoma" w:cs="Tahoma"/>
                <w:b/>
                <w:color w:val="000000"/>
                <w:sz w:val="24"/>
                <w:szCs w:val="24"/>
                <w:lang w:val="en-US" w:eastAsia="ru-RU"/>
              </w:rPr>
              <w:t>201</w:t>
            </w:r>
            <w:r>
              <w:rPr>
                <w:rFonts w:ascii="Tahoma" w:eastAsia="Times New Roman" w:hAnsi="Tahoma" w:cs="Tahoma"/>
                <w:b/>
                <w:color w:val="000000"/>
                <w:sz w:val="24"/>
                <w:szCs w:val="24"/>
                <w:lang w:val="en-US" w:eastAsia="ru-RU"/>
              </w:rPr>
              <w:t>2</w:t>
            </w:r>
          </w:p>
        </w:tc>
        <w:tc>
          <w:tcPr>
            <w:tcW w:w="615" w:type="pct"/>
            <w:tcMar>
              <w:top w:w="0" w:type="dxa"/>
              <w:left w:w="150" w:type="dxa"/>
              <w:bottom w:w="0" w:type="dxa"/>
              <w:right w:w="150" w:type="dxa"/>
            </w:tcMar>
            <w:hideMark/>
          </w:tcPr>
          <w:p w:rsidR="00A934E3" w:rsidRPr="00BE0E4E" w:rsidRDefault="00A934E3" w:rsidP="00BE0E4E">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 xml:space="preserve">% </w:t>
            </w:r>
            <w:r w:rsidRPr="00BE0E4E">
              <w:rPr>
                <w:rFonts w:ascii="Tahoma" w:eastAsia="Times New Roman" w:hAnsi="Tahoma" w:cs="Tahoma"/>
                <w:color w:val="000000"/>
                <w:sz w:val="24"/>
                <w:szCs w:val="24"/>
                <w:lang w:val="en-US" w:eastAsia="ru-RU"/>
              </w:rPr>
              <w:t>Change</w:t>
            </w:r>
            <w:r>
              <w:rPr>
                <w:rFonts w:ascii="Tahoma" w:eastAsia="Times New Roman" w:hAnsi="Tahoma" w:cs="Tahoma"/>
                <w:color w:val="000000"/>
                <w:sz w:val="24"/>
                <w:szCs w:val="24"/>
                <w:lang w:val="en-US" w:eastAsia="ru-RU"/>
              </w:rPr>
              <w:t xml:space="preserve"> </w:t>
            </w:r>
            <w:proofErr w:type="spellStart"/>
            <w:r w:rsidRPr="00BE0E4E">
              <w:rPr>
                <w:rFonts w:ascii="Tahoma" w:eastAsia="Times New Roman" w:hAnsi="Tahoma" w:cs="Tahoma"/>
                <w:color w:val="000000"/>
                <w:sz w:val="24"/>
                <w:szCs w:val="24"/>
                <w:lang w:val="en-US" w:eastAsia="ru-RU"/>
              </w:rPr>
              <w:t>y.o.y</w:t>
            </w:r>
            <w:proofErr w:type="spellEnd"/>
            <w:r w:rsidRPr="00BE0E4E">
              <w:rPr>
                <w:rFonts w:ascii="Tahoma" w:eastAsia="Times New Roman" w:hAnsi="Tahoma" w:cs="Tahoma"/>
                <w:color w:val="000000"/>
                <w:sz w:val="24"/>
                <w:szCs w:val="24"/>
                <w:lang w:val="en-US" w:eastAsia="ru-RU"/>
              </w:rPr>
              <w:t>.,</w:t>
            </w:r>
          </w:p>
        </w:tc>
      </w:tr>
      <w:tr w:rsidR="00A934E3" w:rsidRPr="00BE0E4E" w:rsidTr="006713B9">
        <w:tc>
          <w:tcPr>
            <w:tcW w:w="2464" w:type="pct"/>
            <w:tcMar>
              <w:top w:w="0" w:type="dxa"/>
              <w:left w:w="150" w:type="dxa"/>
              <w:bottom w:w="0" w:type="dxa"/>
              <w:right w:w="150" w:type="dxa"/>
            </w:tcMar>
          </w:tcPr>
          <w:p w:rsidR="00A934E3" w:rsidRPr="002E0256" w:rsidRDefault="00A934E3" w:rsidP="002E0256">
            <w:pPr>
              <w:spacing w:after="0" w:line="240" w:lineRule="auto"/>
              <w:rPr>
                <w:rFonts w:ascii="Tahoma" w:eastAsia="Times New Roman" w:hAnsi="Tahoma" w:cs="Tahoma"/>
                <w:color w:val="000000"/>
                <w:sz w:val="24"/>
                <w:szCs w:val="24"/>
                <w:lang w:val="en-US" w:eastAsia="ru-RU"/>
              </w:rPr>
            </w:pPr>
            <w:r w:rsidRPr="002E0256">
              <w:rPr>
                <w:rFonts w:ascii="Tahoma" w:eastAsia="Times New Roman" w:hAnsi="Tahoma" w:cs="Tahoma"/>
                <w:color w:val="000000"/>
                <w:sz w:val="24"/>
                <w:szCs w:val="24"/>
                <w:lang w:val="en-US" w:eastAsia="ru-RU"/>
              </w:rPr>
              <w:t>Fuel expenses</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31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246</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32</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045</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-2%</w:t>
            </w:r>
          </w:p>
        </w:tc>
      </w:tr>
      <w:tr w:rsidR="00A934E3" w:rsidRPr="00595970" w:rsidTr="00210B6E">
        <w:tc>
          <w:tcPr>
            <w:tcW w:w="2464" w:type="pct"/>
            <w:tcMar>
              <w:top w:w="0" w:type="dxa"/>
              <w:left w:w="150" w:type="dxa"/>
              <w:bottom w:w="0" w:type="dxa"/>
              <w:right w:w="150" w:type="dxa"/>
            </w:tcMar>
          </w:tcPr>
          <w:p w:rsidR="00A934E3" w:rsidRPr="002E0256" w:rsidRDefault="00A934E3" w:rsidP="00962DD7">
            <w:pPr>
              <w:spacing w:after="0" w:line="240" w:lineRule="auto"/>
              <w:rPr>
                <w:rFonts w:ascii="Tahoma" w:eastAsia="Times New Roman" w:hAnsi="Tahoma" w:cs="Tahoma"/>
                <w:color w:val="000000"/>
                <w:sz w:val="24"/>
                <w:szCs w:val="24"/>
                <w:lang w:val="en-US" w:eastAsia="ru-RU"/>
              </w:rPr>
            </w:pPr>
            <w:r w:rsidRPr="002E0256">
              <w:rPr>
                <w:rFonts w:ascii="Tahoma" w:eastAsia="Times New Roman" w:hAnsi="Tahoma" w:cs="Tahoma"/>
                <w:color w:val="000000"/>
                <w:sz w:val="24"/>
                <w:szCs w:val="24"/>
                <w:lang w:val="en-US" w:eastAsia="ru-RU"/>
              </w:rPr>
              <w:t xml:space="preserve">Employee benefit expenses (including payroll taxes and pension benefit expenses) </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29</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808</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27</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851</w:t>
            </w:r>
          </w:p>
        </w:tc>
        <w:tc>
          <w:tcPr>
            <w:tcW w:w="615" w:type="pct"/>
            <w:tcMar>
              <w:top w:w="0" w:type="dxa"/>
              <w:left w:w="150" w:type="dxa"/>
              <w:bottom w:w="0" w:type="dxa"/>
              <w:right w:w="150" w:type="dxa"/>
            </w:tcMar>
            <w:vAlign w:val="center"/>
          </w:tcPr>
          <w:p w:rsidR="00A934E3" w:rsidRPr="004D0D6F" w:rsidRDefault="00A934E3" w:rsidP="00210B6E">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7%</w:t>
            </w:r>
          </w:p>
        </w:tc>
      </w:tr>
      <w:tr w:rsidR="00A934E3" w:rsidRPr="00595970" w:rsidTr="006713B9">
        <w:tc>
          <w:tcPr>
            <w:tcW w:w="2464" w:type="pct"/>
            <w:tcMar>
              <w:top w:w="0" w:type="dxa"/>
              <w:left w:w="150" w:type="dxa"/>
              <w:bottom w:w="0" w:type="dxa"/>
              <w:right w:w="150" w:type="dxa"/>
            </w:tcMar>
          </w:tcPr>
          <w:p w:rsidR="00A934E3" w:rsidRPr="00595970" w:rsidRDefault="00A934E3" w:rsidP="00595970">
            <w:pPr>
              <w:spacing w:after="0" w:line="240" w:lineRule="auto"/>
              <w:rPr>
                <w:rFonts w:ascii="Tahoma" w:eastAsia="Times New Roman" w:hAnsi="Tahoma" w:cs="Tahoma"/>
                <w:color w:val="000000"/>
                <w:sz w:val="24"/>
                <w:szCs w:val="24"/>
                <w:lang w:val="en-US" w:eastAsia="ru-RU"/>
              </w:rPr>
            </w:pPr>
            <w:r w:rsidRPr="00595970">
              <w:rPr>
                <w:rFonts w:ascii="Tahoma" w:eastAsia="Times New Roman" w:hAnsi="Tahoma" w:cs="Tahoma"/>
                <w:color w:val="000000"/>
                <w:sz w:val="24"/>
                <w:szCs w:val="24"/>
                <w:lang w:val="en-US" w:eastAsia="ru-RU"/>
              </w:rPr>
              <w:t>Expenses for electricity distribution</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9</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345</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8</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909</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w:t>
            </w:r>
          </w:p>
        </w:tc>
      </w:tr>
      <w:tr w:rsidR="00A934E3" w:rsidRPr="00595970" w:rsidTr="006713B9">
        <w:tc>
          <w:tcPr>
            <w:tcW w:w="2464" w:type="pct"/>
            <w:tcMar>
              <w:top w:w="0" w:type="dxa"/>
              <w:left w:w="150" w:type="dxa"/>
              <w:bottom w:w="0" w:type="dxa"/>
              <w:right w:w="150" w:type="dxa"/>
            </w:tcMar>
            <w:hideMark/>
          </w:tcPr>
          <w:p w:rsidR="00A934E3" w:rsidRPr="00595970" w:rsidRDefault="00A934E3" w:rsidP="00595970">
            <w:pPr>
              <w:spacing w:after="0" w:line="240" w:lineRule="auto"/>
              <w:rPr>
                <w:rFonts w:ascii="Tahoma" w:eastAsia="Times New Roman" w:hAnsi="Tahoma" w:cs="Tahoma"/>
                <w:color w:val="51657E"/>
                <w:sz w:val="24"/>
                <w:szCs w:val="24"/>
                <w:lang w:val="en-US" w:eastAsia="ru-RU"/>
              </w:rPr>
            </w:pPr>
            <w:r w:rsidRPr="00595970">
              <w:rPr>
                <w:rFonts w:ascii="Tahoma" w:eastAsia="Times New Roman" w:hAnsi="Tahoma" w:cs="Tahoma"/>
                <w:color w:val="000000"/>
                <w:sz w:val="24"/>
                <w:szCs w:val="24"/>
                <w:lang w:val="en-US" w:eastAsia="ru-RU"/>
              </w:rPr>
              <w:t>Purchase of electricity and capacity</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7</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017</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6</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400</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10%</w:t>
            </w:r>
          </w:p>
        </w:tc>
      </w:tr>
      <w:tr w:rsidR="00A934E3" w:rsidRPr="00595970" w:rsidTr="006713B9">
        <w:tc>
          <w:tcPr>
            <w:tcW w:w="2464" w:type="pct"/>
            <w:tcMar>
              <w:top w:w="0" w:type="dxa"/>
              <w:left w:w="150" w:type="dxa"/>
              <w:bottom w:w="0" w:type="dxa"/>
              <w:right w:w="150" w:type="dxa"/>
            </w:tcMar>
          </w:tcPr>
          <w:p w:rsidR="00A934E3" w:rsidRPr="00595970" w:rsidRDefault="00A934E3" w:rsidP="00595970">
            <w:pPr>
              <w:spacing w:after="0" w:line="240" w:lineRule="auto"/>
              <w:rPr>
                <w:rFonts w:ascii="Tahoma" w:eastAsia="Times New Roman" w:hAnsi="Tahoma" w:cs="Tahoma"/>
                <w:color w:val="51657E"/>
                <w:sz w:val="24"/>
                <w:szCs w:val="24"/>
                <w:lang w:val="en-US" w:eastAsia="ru-RU"/>
              </w:rPr>
            </w:pPr>
            <w:r w:rsidRPr="00172C57">
              <w:rPr>
                <w:rFonts w:ascii="Tahoma" w:eastAsia="Times New Roman" w:hAnsi="Tahoma" w:cs="Tahoma"/>
                <w:color w:val="000000"/>
                <w:sz w:val="24"/>
                <w:szCs w:val="24"/>
                <w:lang w:val="en-US" w:eastAsia="ru-RU"/>
              </w:rPr>
              <w:t>Other materials</w:t>
            </w:r>
            <w:r>
              <w:rPr>
                <w:rFonts w:ascii="Tahoma" w:eastAsia="Times New Roman" w:hAnsi="Tahoma" w:cs="Tahoma"/>
                <w:color w:val="51657E"/>
                <w:sz w:val="24"/>
                <w:szCs w:val="24"/>
                <w:lang w:val="en-US" w:eastAsia="ru-RU"/>
              </w:rPr>
              <w:t xml:space="preserve"> </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739</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137</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12%</w:t>
            </w:r>
          </w:p>
        </w:tc>
      </w:tr>
      <w:tr w:rsidR="00A934E3" w:rsidRPr="00172C57" w:rsidTr="006713B9">
        <w:tc>
          <w:tcPr>
            <w:tcW w:w="2464" w:type="pct"/>
            <w:tcMar>
              <w:top w:w="0" w:type="dxa"/>
              <w:left w:w="150" w:type="dxa"/>
              <w:bottom w:w="0" w:type="dxa"/>
              <w:right w:w="150" w:type="dxa"/>
            </w:tcMar>
          </w:tcPr>
          <w:p w:rsidR="00A934E3" w:rsidRPr="00595970" w:rsidRDefault="00A934E3" w:rsidP="006713B9">
            <w:pPr>
              <w:spacing w:after="0" w:line="240" w:lineRule="auto"/>
              <w:rPr>
                <w:rFonts w:ascii="Tahoma" w:eastAsia="Times New Roman" w:hAnsi="Tahoma" w:cs="Tahoma"/>
                <w:color w:val="51657E"/>
                <w:sz w:val="24"/>
                <w:szCs w:val="24"/>
                <w:lang w:val="en-US" w:eastAsia="ru-RU"/>
              </w:rPr>
            </w:pPr>
            <w:r w:rsidRPr="002E0256">
              <w:rPr>
                <w:rFonts w:ascii="Tahoma" w:eastAsia="Times New Roman" w:hAnsi="Tahoma" w:cs="Tahoma"/>
                <w:color w:val="000000"/>
                <w:sz w:val="24"/>
                <w:szCs w:val="24"/>
                <w:lang w:val="en-US" w:eastAsia="ru-RU"/>
              </w:rPr>
              <w:t>Depreciation of property, plant and equipment</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3</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688</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3</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232</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14%</w:t>
            </w:r>
          </w:p>
        </w:tc>
      </w:tr>
      <w:tr w:rsidR="00A934E3" w:rsidRPr="008B2A31" w:rsidTr="006713B9">
        <w:tc>
          <w:tcPr>
            <w:tcW w:w="2464" w:type="pct"/>
            <w:tcMar>
              <w:top w:w="0" w:type="dxa"/>
              <w:left w:w="150" w:type="dxa"/>
              <w:bottom w:w="0" w:type="dxa"/>
              <w:right w:w="150" w:type="dxa"/>
            </w:tcMar>
          </w:tcPr>
          <w:p w:rsidR="00A934E3" w:rsidRPr="002E0256" w:rsidRDefault="00A934E3" w:rsidP="00A934E3">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S</w:t>
            </w:r>
            <w:r w:rsidRPr="0080790F">
              <w:rPr>
                <w:rFonts w:ascii="Tahoma" w:eastAsia="Times New Roman" w:hAnsi="Tahoma" w:cs="Tahoma"/>
                <w:color w:val="000000"/>
                <w:sz w:val="24"/>
                <w:szCs w:val="24"/>
                <w:lang w:val="en-US" w:eastAsia="ru-RU"/>
              </w:rPr>
              <w:t>ervices of subcontracting companies</w:t>
            </w:r>
            <w:r>
              <w:rPr>
                <w:rFonts w:ascii="Tahoma" w:eastAsia="Times New Roman" w:hAnsi="Tahoma" w:cs="Tahoma"/>
                <w:color w:val="000000"/>
                <w:sz w:val="24"/>
                <w:szCs w:val="24"/>
                <w:lang w:val="en-US" w:eastAsia="ru-RU"/>
              </w:rPr>
              <w:t xml:space="preserve"> </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982</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270</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56%</w:t>
            </w:r>
          </w:p>
        </w:tc>
      </w:tr>
      <w:tr w:rsidR="00A934E3" w:rsidRPr="008B2A31" w:rsidTr="006713B9">
        <w:tc>
          <w:tcPr>
            <w:tcW w:w="2464" w:type="pct"/>
            <w:tcMar>
              <w:top w:w="0" w:type="dxa"/>
              <w:left w:w="150" w:type="dxa"/>
              <w:bottom w:w="0" w:type="dxa"/>
              <w:right w:w="150" w:type="dxa"/>
            </w:tcMar>
          </w:tcPr>
          <w:p w:rsidR="00A934E3" w:rsidRPr="002E0256" w:rsidRDefault="00A934E3" w:rsidP="006713B9">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Purchase and transmission of heat</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948</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853</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w:t>
            </w:r>
          </w:p>
        </w:tc>
      </w:tr>
      <w:tr w:rsidR="00A934E3" w:rsidRPr="008B2A31" w:rsidTr="006713B9">
        <w:tc>
          <w:tcPr>
            <w:tcW w:w="2464" w:type="pct"/>
            <w:tcMar>
              <w:top w:w="0" w:type="dxa"/>
              <w:left w:w="150" w:type="dxa"/>
              <w:bottom w:w="0" w:type="dxa"/>
              <w:right w:w="150" w:type="dxa"/>
            </w:tcMar>
          </w:tcPr>
          <w:p w:rsidR="00A934E3" w:rsidRDefault="00A934E3" w:rsidP="0080790F">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Repairs and maintenance</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546</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877</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-18%</w:t>
            </w:r>
          </w:p>
        </w:tc>
      </w:tr>
      <w:tr w:rsidR="00A934E3" w:rsidRPr="00172C57" w:rsidTr="0080790F">
        <w:tc>
          <w:tcPr>
            <w:tcW w:w="2464" w:type="pct"/>
            <w:tcMar>
              <w:top w:w="0" w:type="dxa"/>
              <w:left w:w="150" w:type="dxa"/>
              <w:bottom w:w="0" w:type="dxa"/>
              <w:right w:w="150" w:type="dxa"/>
            </w:tcMar>
          </w:tcPr>
          <w:p w:rsidR="00A934E3" w:rsidRPr="002E0256" w:rsidRDefault="00A934E3" w:rsidP="00595970">
            <w:pPr>
              <w:spacing w:after="0" w:line="240" w:lineRule="auto"/>
              <w:rPr>
                <w:rFonts w:ascii="Tahoma" w:eastAsia="Times New Roman" w:hAnsi="Tahoma" w:cs="Tahoma"/>
                <w:color w:val="000000"/>
                <w:sz w:val="24"/>
                <w:szCs w:val="24"/>
                <w:lang w:val="en-US" w:eastAsia="ru-RU"/>
              </w:rPr>
            </w:pPr>
            <w:r w:rsidRPr="005752FD">
              <w:rPr>
                <w:rFonts w:ascii="Tahoma" w:eastAsia="Times New Roman" w:hAnsi="Tahoma" w:cs="Tahoma"/>
                <w:color w:val="000000"/>
                <w:sz w:val="24"/>
                <w:szCs w:val="24"/>
                <w:lang w:val="en-US" w:eastAsia="ru-RU"/>
              </w:rPr>
              <w:t>Accrual of impairment for accounts receivable, net</w:t>
            </w:r>
          </w:p>
        </w:tc>
        <w:tc>
          <w:tcPr>
            <w:tcW w:w="999" w:type="pct"/>
            <w:tcMar>
              <w:top w:w="0" w:type="dxa"/>
              <w:left w:w="150" w:type="dxa"/>
              <w:bottom w:w="0" w:type="dxa"/>
              <w:right w:w="150" w:type="dxa"/>
            </w:tcMar>
            <w:vAlign w:val="center"/>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373</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3</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208</w:t>
            </w:r>
          </w:p>
        </w:tc>
        <w:tc>
          <w:tcPr>
            <w:tcW w:w="615" w:type="pct"/>
            <w:tcMar>
              <w:top w:w="0" w:type="dxa"/>
              <w:left w:w="150" w:type="dxa"/>
              <w:bottom w:w="0" w:type="dxa"/>
              <w:right w:w="150" w:type="dxa"/>
            </w:tcMar>
            <w:vAlign w:val="center"/>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-88%</w:t>
            </w:r>
          </w:p>
        </w:tc>
      </w:tr>
      <w:tr w:rsidR="00A934E3" w:rsidRPr="00172C57" w:rsidTr="006713B9">
        <w:tc>
          <w:tcPr>
            <w:tcW w:w="2464" w:type="pct"/>
            <w:tcMar>
              <w:top w:w="0" w:type="dxa"/>
              <w:left w:w="150" w:type="dxa"/>
              <w:bottom w:w="0" w:type="dxa"/>
              <w:right w:w="150" w:type="dxa"/>
            </w:tcMar>
          </w:tcPr>
          <w:p w:rsidR="00A934E3" w:rsidRPr="002E0256" w:rsidRDefault="00A934E3" w:rsidP="00595970">
            <w:pPr>
              <w:spacing w:after="0" w:line="240" w:lineRule="auto"/>
              <w:rPr>
                <w:rFonts w:ascii="Tahoma" w:eastAsia="Times New Roman" w:hAnsi="Tahoma" w:cs="Tahoma"/>
                <w:color w:val="000000"/>
                <w:sz w:val="24"/>
                <w:szCs w:val="24"/>
                <w:lang w:val="en-US" w:eastAsia="ru-RU"/>
              </w:rPr>
            </w:pPr>
            <w:r w:rsidRPr="00574305">
              <w:rPr>
                <w:rFonts w:ascii="Tahoma" w:eastAsia="Times New Roman" w:hAnsi="Tahoma" w:cs="Tahoma"/>
                <w:color w:val="000000"/>
                <w:sz w:val="24"/>
                <w:szCs w:val="24"/>
                <w:lang w:val="en-US" w:eastAsia="ru-RU"/>
              </w:rPr>
              <w:t>Income</w:t>
            </w:r>
            <w:r>
              <w:rPr>
                <w:rFonts w:ascii="Tahoma" w:eastAsia="Times New Roman" w:hAnsi="Tahoma" w:cs="Tahoma"/>
                <w:color w:val="000000"/>
                <w:sz w:val="24"/>
                <w:szCs w:val="24"/>
                <w:lang w:val="en-US" w:eastAsia="ru-RU"/>
              </w:rPr>
              <w:t>/ (reversal)</w:t>
            </w:r>
            <w:r w:rsidRPr="00574305">
              <w:rPr>
                <w:rFonts w:ascii="Tahoma" w:eastAsia="Times New Roman" w:hAnsi="Tahoma" w:cs="Tahoma"/>
                <w:color w:val="000000"/>
                <w:sz w:val="24"/>
                <w:szCs w:val="24"/>
                <w:lang w:val="en-US" w:eastAsia="ru-RU"/>
              </w:rPr>
              <w:t xml:space="preserve"> on disposal of property, plant and equipment, net</w:t>
            </w:r>
          </w:p>
        </w:tc>
        <w:tc>
          <w:tcPr>
            <w:tcW w:w="999" w:type="pct"/>
            <w:tcMar>
              <w:top w:w="0" w:type="dxa"/>
              <w:left w:w="150" w:type="dxa"/>
              <w:bottom w:w="0" w:type="dxa"/>
              <w:right w:w="150" w:type="dxa"/>
            </w:tcMar>
            <w:vAlign w:val="center"/>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(54)</w:t>
            </w:r>
          </w:p>
        </w:tc>
        <w:tc>
          <w:tcPr>
            <w:tcW w:w="922" w:type="pct"/>
            <w:tcMar>
              <w:top w:w="0" w:type="dxa"/>
              <w:left w:w="150" w:type="dxa"/>
              <w:bottom w:w="0" w:type="dxa"/>
              <w:right w:w="150" w:type="dxa"/>
            </w:tcMar>
            <w:vAlign w:val="center"/>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(135)</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-60%</w:t>
            </w:r>
          </w:p>
        </w:tc>
      </w:tr>
      <w:tr w:rsidR="00A934E3" w:rsidRPr="00311B8A" w:rsidTr="0080790F">
        <w:tc>
          <w:tcPr>
            <w:tcW w:w="2464" w:type="pct"/>
            <w:tcMar>
              <w:top w:w="0" w:type="dxa"/>
              <w:left w:w="150" w:type="dxa"/>
              <w:bottom w:w="0" w:type="dxa"/>
              <w:right w:w="150" w:type="dxa"/>
            </w:tcMar>
          </w:tcPr>
          <w:p w:rsidR="00A934E3" w:rsidRPr="002E0256" w:rsidRDefault="00A934E3" w:rsidP="00172C57">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 xml:space="preserve">Income resulted from the downward </w:t>
            </w:r>
            <w:r>
              <w:rPr>
                <w:rFonts w:ascii="Tahoma" w:eastAsia="Times New Roman" w:hAnsi="Tahoma" w:cs="Tahoma"/>
                <w:color w:val="000000"/>
                <w:sz w:val="24"/>
                <w:szCs w:val="24"/>
                <w:lang w:val="en-US" w:eastAsia="ru-RU"/>
              </w:rPr>
              <w:lastRenderedPageBreak/>
              <w:t>revision of pension scheme</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lastRenderedPageBreak/>
              <w:t>(1</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609)</w:t>
            </w:r>
          </w:p>
        </w:tc>
        <w:tc>
          <w:tcPr>
            <w:tcW w:w="922" w:type="pct"/>
            <w:tcMar>
              <w:top w:w="0" w:type="dxa"/>
              <w:left w:w="150" w:type="dxa"/>
              <w:bottom w:w="0" w:type="dxa"/>
              <w:right w:w="150" w:type="dxa"/>
            </w:tcMar>
            <w:vAlign w:val="center"/>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w:t>
            </w:r>
          </w:p>
        </w:tc>
        <w:tc>
          <w:tcPr>
            <w:tcW w:w="615" w:type="pct"/>
            <w:tcMar>
              <w:top w:w="0" w:type="dxa"/>
              <w:left w:w="150" w:type="dxa"/>
              <w:bottom w:w="0" w:type="dxa"/>
              <w:right w:w="150" w:type="dxa"/>
            </w:tcMar>
            <w:vAlign w:val="center"/>
          </w:tcPr>
          <w:p w:rsidR="00A934E3" w:rsidRPr="004D0D6F" w:rsidRDefault="00A934E3" w:rsidP="006713B9">
            <w:pPr>
              <w:spacing w:after="0" w:line="240" w:lineRule="auto"/>
              <w:jc w:val="center"/>
              <w:rPr>
                <w:rFonts w:ascii="Tahoma" w:eastAsia="Times New Roman" w:hAnsi="Tahoma" w:cs="Tahoma"/>
                <w:color w:val="000000"/>
                <w:lang w:eastAsia="ru-RU"/>
              </w:rPr>
            </w:pPr>
          </w:p>
        </w:tc>
      </w:tr>
      <w:tr w:rsidR="00A934E3" w:rsidRPr="00311B8A" w:rsidTr="006713B9">
        <w:tc>
          <w:tcPr>
            <w:tcW w:w="2464" w:type="pct"/>
            <w:tcMar>
              <w:top w:w="0" w:type="dxa"/>
              <w:left w:w="150" w:type="dxa"/>
              <w:bottom w:w="0" w:type="dxa"/>
              <w:right w:w="150" w:type="dxa"/>
            </w:tcMar>
          </w:tcPr>
          <w:p w:rsidR="00A934E3" w:rsidRPr="00172C57" w:rsidRDefault="00A934E3" w:rsidP="00595970">
            <w:pPr>
              <w:spacing w:after="0" w:line="240" w:lineRule="auto"/>
              <w:rPr>
                <w:rFonts w:ascii="Tahoma" w:eastAsia="Times New Roman" w:hAnsi="Tahoma" w:cs="Tahoma"/>
                <w:b/>
                <w:color w:val="000000"/>
                <w:sz w:val="24"/>
                <w:szCs w:val="24"/>
                <w:lang w:val="en-US" w:eastAsia="ru-RU"/>
              </w:rPr>
            </w:pPr>
            <w:r>
              <w:rPr>
                <w:rFonts w:ascii="Tahoma" w:eastAsia="Times New Roman" w:hAnsi="Tahoma" w:cs="Tahoma"/>
                <w:color w:val="000000"/>
                <w:sz w:val="24"/>
                <w:szCs w:val="24"/>
                <w:lang w:val="en-US" w:eastAsia="ru-RU"/>
              </w:rPr>
              <w:lastRenderedPageBreak/>
              <w:t>Other expenses</w:t>
            </w:r>
          </w:p>
        </w:tc>
        <w:tc>
          <w:tcPr>
            <w:tcW w:w="999"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9</w:t>
            </w:r>
            <w:r w:rsidR="00020887">
              <w:rPr>
                <w:rFonts w:ascii="Tahoma" w:eastAsia="Times New Roman" w:hAnsi="Tahoma" w:cs="Tahoma"/>
                <w:color w:val="000000"/>
                <w:lang w:val="en-US" w:eastAsia="ru-RU"/>
              </w:rPr>
              <w:t>,</w:t>
            </w:r>
            <w:r w:rsidRPr="004D0D6F">
              <w:rPr>
                <w:rFonts w:ascii="Tahoma" w:eastAsia="Times New Roman" w:hAnsi="Tahoma" w:cs="Tahoma"/>
                <w:color w:val="000000"/>
                <w:lang w:eastAsia="ru-RU"/>
              </w:rPr>
              <w:t>524</w:t>
            </w:r>
          </w:p>
        </w:tc>
        <w:tc>
          <w:tcPr>
            <w:tcW w:w="922" w:type="pct"/>
            <w:tcMar>
              <w:top w:w="0" w:type="dxa"/>
              <w:left w:w="150" w:type="dxa"/>
              <w:bottom w:w="0" w:type="dxa"/>
              <w:right w:w="150" w:type="dxa"/>
            </w:tcMar>
            <w:vAlign w:val="center"/>
          </w:tcPr>
          <w:p w:rsidR="00A934E3" w:rsidRPr="004D0D6F" w:rsidRDefault="00A934E3" w:rsidP="00020887">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9</w:t>
            </w:r>
            <w:r w:rsidR="00020887">
              <w:rPr>
                <w:rFonts w:ascii="Tahoma" w:eastAsia="Times New Roman" w:hAnsi="Tahoma" w:cs="Tahoma"/>
                <w:color w:val="000000"/>
                <w:lang w:val="en-US" w:eastAsia="ru-RU"/>
              </w:rPr>
              <w:t>,</w:t>
            </w:r>
            <w:r w:rsidRPr="00C72330">
              <w:rPr>
                <w:rFonts w:ascii="Tahoma" w:eastAsia="Times New Roman" w:hAnsi="Tahoma" w:cs="Tahoma"/>
                <w:color w:val="000000"/>
                <w:lang w:eastAsia="ru-RU"/>
              </w:rPr>
              <w:t>579</w:t>
            </w:r>
          </w:p>
        </w:tc>
        <w:tc>
          <w:tcPr>
            <w:tcW w:w="615" w:type="pct"/>
            <w:tcMar>
              <w:top w:w="0" w:type="dxa"/>
              <w:left w:w="150" w:type="dxa"/>
              <w:bottom w:w="0" w:type="dxa"/>
              <w:right w:w="150" w:type="dxa"/>
            </w:tcMar>
            <w:vAlign w:val="bottom"/>
          </w:tcPr>
          <w:p w:rsidR="00A934E3" w:rsidRPr="004D0D6F" w:rsidRDefault="00A934E3" w:rsidP="006713B9">
            <w:pPr>
              <w:spacing w:after="0" w:line="240" w:lineRule="auto"/>
              <w:jc w:val="center"/>
              <w:rPr>
                <w:rFonts w:ascii="Tahoma" w:eastAsia="Times New Roman" w:hAnsi="Tahoma" w:cs="Tahoma"/>
                <w:color w:val="000000"/>
                <w:lang w:eastAsia="ru-RU"/>
              </w:rPr>
            </w:pPr>
            <w:r w:rsidRPr="004D0D6F">
              <w:rPr>
                <w:rFonts w:ascii="Tahoma" w:eastAsia="Times New Roman" w:hAnsi="Tahoma" w:cs="Tahoma"/>
                <w:color w:val="000000"/>
                <w:lang w:eastAsia="ru-RU"/>
              </w:rPr>
              <w:t>-1%</w:t>
            </w:r>
          </w:p>
        </w:tc>
      </w:tr>
      <w:tr w:rsidR="00A934E3" w:rsidRPr="00311B8A" w:rsidTr="006713B9">
        <w:tc>
          <w:tcPr>
            <w:tcW w:w="2464" w:type="pct"/>
            <w:tcMar>
              <w:top w:w="0" w:type="dxa"/>
              <w:left w:w="150" w:type="dxa"/>
              <w:bottom w:w="0" w:type="dxa"/>
              <w:right w:w="150" w:type="dxa"/>
            </w:tcMar>
          </w:tcPr>
          <w:p w:rsidR="00A934E3" w:rsidRPr="00172C57" w:rsidRDefault="00A934E3" w:rsidP="00595970">
            <w:pPr>
              <w:spacing w:after="0" w:line="240" w:lineRule="auto"/>
              <w:rPr>
                <w:rFonts w:ascii="Tahoma" w:eastAsia="Times New Roman" w:hAnsi="Tahoma" w:cs="Tahoma"/>
                <w:b/>
                <w:color w:val="000000"/>
                <w:sz w:val="24"/>
                <w:szCs w:val="24"/>
                <w:lang w:val="en-US" w:eastAsia="ru-RU"/>
              </w:rPr>
            </w:pPr>
            <w:r w:rsidRPr="00172C57">
              <w:rPr>
                <w:rFonts w:ascii="Tahoma" w:eastAsia="Times New Roman" w:hAnsi="Tahoma" w:cs="Tahoma"/>
                <w:b/>
                <w:color w:val="000000"/>
                <w:sz w:val="24"/>
                <w:szCs w:val="24"/>
                <w:lang w:val="en-US" w:eastAsia="ru-RU"/>
              </w:rPr>
              <w:t>Total Expenses</w:t>
            </w:r>
          </w:p>
        </w:tc>
        <w:tc>
          <w:tcPr>
            <w:tcW w:w="999" w:type="pct"/>
            <w:tcMar>
              <w:top w:w="0" w:type="dxa"/>
              <w:left w:w="150" w:type="dxa"/>
              <w:bottom w:w="0" w:type="dxa"/>
              <w:right w:w="150" w:type="dxa"/>
            </w:tcMar>
            <w:vAlign w:val="center"/>
          </w:tcPr>
          <w:p w:rsidR="00A934E3" w:rsidRPr="004D0D6F" w:rsidRDefault="00A934E3" w:rsidP="00020887">
            <w:pPr>
              <w:jc w:val="center"/>
              <w:rPr>
                <w:rFonts w:ascii="Tahoma" w:hAnsi="Tahoma" w:cs="Tahoma"/>
                <w:b/>
                <w:bCs/>
                <w:color w:val="000000"/>
              </w:rPr>
            </w:pPr>
            <w:r w:rsidRPr="004D0D6F">
              <w:rPr>
                <w:rFonts w:ascii="Tahoma" w:hAnsi="Tahoma" w:cs="Tahoma"/>
                <w:b/>
                <w:bCs/>
                <w:color w:val="000000"/>
              </w:rPr>
              <w:t>100</w:t>
            </w:r>
            <w:r w:rsidR="00020887">
              <w:rPr>
                <w:rFonts w:ascii="Tahoma" w:hAnsi="Tahoma" w:cs="Tahoma"/>
                <w:b/>
                <w:bCs/>
                <w:color w:val="000000"/>
                <w:lang w:val="en-US"/>
              </w:rPr>
              <w:t>,</w:t>
            </w:r>
            <w:r w:rsidRPr="004D0D6F">
              <w:rPr>
                <w:rFonts w:ascii="Tahoma" w:hAnsi="Tahoma" w:cs="Tahoma"/>
                <w:b/>
                <w:bCs/>
                <w:color w:val="000000"/>
              </w:rPr>
              <w:t>553</w:t>
            </w:r>
          </w:p>
        </w:tc>
        <w:tc>
          <w:tcPr>
            <w:tcW w:w="922" w:type="pct"/>
            <w:tcMar>
              <w:top w:w="0" w:type="dxa"/>
              <w:left w:w="150" w:type="dxa"/>
              <w:bottom w:w="0" w:type="dxa"/>
              <w:right w:w="150" w:type="dxa"/>
            </w:tcMar>
            <w:vAlign w:val="center"/>
          </w:tcPr>
          <w:p w:rsidR="00A934E3" w:rsidRPr="004D0D6F" w:rsidRDefault="00A934E3" w:rsidP="00020887">
            <w:pPr>
              <w:jc w:val="center"/>
              <w:rPr>
                <w:rFonts w:ascii="Tahoma" w:hAnsi="Tahoma" w:cs="Tahoma"/>
                <w:b/>
                <w:bCs/>
                <w:color w:val="000000"/>
              </w:rPr>
            </w:pPr>
            <w:r w:rsidRPr="004D0D6F">
              <w:rPr>
                <w:rFonts w:ascii="Tahoma" w:hAnsi="Tahoma" w:cs="Tahoma"/>
                <w:b/>
                <w:bCs/>
                <w:color w:val="000000"/>
              </w:rPr>
              <w:t>101</w:t>
            </w:r>
            <w:r w:rsidR="00020887">
              <w:rPr>
                <w:rFonts w:ascii="Tahoma" w:hAnsi="Tahoma" w:cs="Tahoma"/>
                <w:b/>
                <w:bCs/>
                <w:color w:val="000000"/>
                <w:lang w:val="en-US"/>
              </w:rPr>
              <w:t>,</w:t>
            </w:r>
            <w:r w:rsidRPr="004D0D6F">
              <w:rPr>
                <w:rFonts w:ascii="Tahoma" w:hAnsi="Tahoma" w:cs="Tahoma"/>
                <w:b/>
                <w:bCs/>
                <w:color w:val="000000"/>
              </w:rPr>
              <w:t>226</w:t>
            </w:r>
          </w:p>
        </w:tc>
        <w:tc>
          <w:tcPr>
            <w:tcW w:w="615" w:type="pct"/>
            <w:tcMar>
              <w:top w:w="0" w:type="dxa"/>
              <w:left w:w="150" w:type="dxa"/>
              <w:bottom w:w="0" w:type="dxa"/>
              <w:right w:w="150" w:type="dxa"/>
            </w:tcMar>
            <w:vAlign w:val="bottom"/>
          </w:tcPr>
          <w:p w:rsidR="00A934E3" w:rsidRPr="004D0D6F" w:rsidRDefault="00A934E3" w:rsidP="006713B9">
            <w:pPr>
              <w:jc w:val="center"/>
              <w:rPr>
                <w:rFonts w:ascii="Tahoma" w:hAnsi="Tahoma" w:cs="Tahoma"/>
                <w:b/>
                <w:bCs/>
                <w:color w:val="000000"/>
              </w:rPr>
            </w:pPr>
            <w:r w:rsidRPr="004D0D6F">
              <w:rPr>
                <w:rFonts w:ascii="Tahoma" w:hAnsi="Tahoma" w:cs="Tahoma"/>
                <w:b/>
                <w:bCs/>
                <w:color w:val="000000"/>
              </w:rPr>
              <w:t>-1%</w:t>
            </w:r>
          </w:p>
        </w:tc>
      </w:tr>
    </w:tbl>
    <w:p w:rsidR="00595970" w:rsidRDefault="00595970" w:rsidP="00595970">
      <w:pPr>
        <w:spacing w:after="0" w:line="240" w:lineRule="auto"/>
        <w:jc w:val="both"/>
        <w:rPr>
          <w:rFonts w:ascii="Tahoma" w:eastAsia="Times New Roman" w:hAnsi="Tahoma" w:cs="Tahoma"/>
          <w:sz w:val="24"/>
          <w:szCs w:val="24"/>
          <w:lang w:val="en-US" w:eastAsia="ru-RU"/>
        </w:rPr>
      </w:pPr>
    </w:p>
    <w:p w:rsidR="0080790F" w:rsidRPr="0080790F" w:rsidRDefault="0080790F" w:rsidP="00595970">
      <w:pPr>
        <w:spacing w:after="0" w:line="240" w:lineRule="auto"/>
        <w:jc w:val="both"/>
        <w:rPr>
          <w:rFonts w:ascii="Tahoma" w:eastAsia="Times New Roman" w:hAnsi="Tahoma" w:cs="Tahoma"/>
          <w:b/>
          <w:sz w:val="24"/>
          <w:szCs w:val="24"/>
          <w:lang w:val="en-US" w:eastAsia="ru-RU"/>
        </w:rPr>
      </w:pPr>
      <w:r w:rsidRPr="0080790F">
        <w:rPr>
          <w:rFonts w:ascii="Tahoma" w:eastAsia="Times New Roman" w:hAnsi="Tahoma" w:cs="Tahoma"/>
          <w:b/>
          <w:sz w:val="24"/>
          <w:szCs w:val="24"/>
          <w:lang w:val="en-US" w:eastAsia="ru-RU"/>
        </w:rPr>
        <w:t>Profit</w:t>
      </w:r>
    </w:p>
    <w:p w:rsidR="003140E1" w:rsidRPr="00A34513" w:rsidRDefault="00141E53"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Through</w:t>
      </w:r>
      <w:r w:rsidR="00FD0425">
        <w:rPr>
          <w:rFonts w:ascii="Tahoma" w:eastAsia="Times New Roman" w:hAnsi="Tahoma" w:cs="Tahoma"/>
          <w:sz w:val="24"/>
          <w:szCs w:val="24"/>
          <w:lang w:val="en-US" w:eastAsia="ru-RU"/>
        </w:rPr>
        <w:t xml:space="preserve"> the </w:t>
      </w:r>
      <w:r w:rsidR="00A934E3">
        <w:rPr>
          <w:rFonts w:ascii="Tahoma" w:eastAsia="Times New Roman" w:hAnsi="Tahoma" w:cs="Tahoma"/>
          <w:sz w:val="24"/>
          <w:szCs w:val="24"/>
          <w:lang w:val="en-US" w:eastAsia="ru-RU"/>
        </w:rPr>
        <w:t>nine</w:t>
      </w:r>
      <w:r w:rsidR="00FD0425">
        <w:rPr>
          <w:rFonts w:ascii="Tahoma" w:eastAsia="Times New Roman" w:hAnsi="Tahoma" w:cs="Tahoma"/>
          <w:sz w:val="24"/>
          <w:szCs w:val="24"/>
          <w:lang w:val="en-US" w:eastAsia="ru-RU"/>
        </w:rPr>
        <w:t xml:space="preserve"> months of</w:t>
      </w:r>
      <w:r w:rsidR="007A2E3D">
        <w:rPr>
          <w:rFonts w:ascii="Tahoma" w:eastAsia="Times New Roman" w:hAnsi="Tahoma" w:cs="Tahoma"/>
          <w:sz w:val="24"/>
          <w:szCs w:val="24"/>
          <w:lang w:val="en-US" w:eastAsia="ru-RU"/>
        </w:rPr>
        <w:t xml:space="preserve"> 201</w:t>
      </w:r>
      <w:r w:rsidR="00172C57">
        <w:rPr>
          <w:rFonts w:ascii="Tahoma" w:eastAsia="Times New Roman" w:hAnsi="Tahoma" w:cs="Tahoma"/>
          <w:sz w:val="24"/>
          <w:szCs w:val="24"/>
          <w:lang w:val="en-US" w:eastAsia="ru-RU"/>
        </w:rPr>
        <w:t>3</w:t>
      </w:r>
      <w:r w:rsidR="007A2E3D">
        <w:rPr>
          <w:rFonts w:ascii="Tahoma" w:eastAsia="Times New Roman" w:hAnsi="Tahoma" w:cs="Tahoma"/>
          <w:sz w:val="24"/>
          <w:szCs w:val="24"/>
          <w:lang w:val="en-US" w:eastAsia="ru-RU"/>
        </w:rPr>
        <w:t xml:space="preserve"> the </w:t>
      </w:r>
      <w:r w:rsidR="00595970" w:rsidRPr="00595970">
        <w:rPr>
          <w:rFonts w:ascii="Tahoma" w:eastAsia="Times New Roman" w:hAnsi="Tahoma" w:cs="Tahoma"/>
          <w:sz w:val="24"/>
          <w:szCs w:val="24"/>
          <w:lang w:val="en-US" w:eastAsia="ru-RU"/>
        </w:rPr>
        <w:t>Group</w:t>
      </w:r>
      <w:r w:rsidR="007A2E3D">
        <w:rPr>
          <w:rFonts w:ascii="Tahoma" w:eastAsia="Times New Roman" w:hAnsi="Tahoma" w:cs="Tahoma"/>
          <w:sz w:val="24"/>
          <w:szCs w:val="24"/>
          <w:lang w:val="en-US" w:eastAsia="ru-RU"/>
        </w:rPr>
        <w:t xml:space="preserve"> </w:t>
      </w:r>
      <w:r w:rsidR="00477F3F">
        <w:rPr>
          <w:rFonts w:ascii="Tahoma" w:eastAsia="Times New Roman" w:hAnsi="Tahoma" w:cs="Tahoma"/>
          <w:sz w:val="24"/>
          <w:szCs w:val="24"/>
          <w:lang w:val="en-US" w:eastAsia="ru-RU"/>
        </w:rPr>
        <w:t>posted</w:t>
      </w:r>
      <w:r w:rsidR="007A2E3D">
        <w:rPr>
          <w:rFonts w:ascii="Tahoma" w:eastAsia="Times New Roman" w:hAnsi="Tahoma" w:cs="Tahoma"/>
          <w:sz w:val="24"/>
          <w:szCs w:val="24"/>
          <w:lang w:val="en-US" w:eastAsia="ru-RU"/>
        </w:rPr>
        <w:t xml:space="preserve"> an </w:t>
      </w:r>
      <w:r w:rsidR="00A934E3">
        <w:rPr>
          <w:rFonts w:ascii="Tahoma" w:eastAsia="Times New Roman" w:hAnsi="Tahoma" w:cs="Tahoma"/>
          <w:sz w:val="24"/>
          <w:szCs w:val="24"/>
          <w:lang w:val="en-US" w:eastAsia="ru-RU"/>
        </w:rPr>
        <w:t xml:space="preserve">adjusted </w:t>
      </w:r>
      <w:r w:rsidR="007A2E3D">
        <w:rPr>
          <w:rFonts w:ascii="Tahoma" w:eastAsia="Times New Roman" w:hAnsi="Tahoma" w:cs="Tahoma"/>
          <w:sz w:val="24"/>
          <w:szCs w:val="24"/>
          <w:lang w:val="en-US" w:eastAsia="ru-RU"/>
        </w:rPr>
        <w:t>operating</w:t>
      </w:r>
      <w:r w:rsidR="00595970" w:rsidRPr="00595970">
        <w:rPr>
          <w:rFonts w:ascii="Tahoma" w:eastAsia="Times New Roman" w:hAnsi="Tahoma" w:cs="Tahoma"/>
          <w:sz w:val="24"/>
          <w:szCs w:val="24"/>
          <w:lang w:val="en-US" w:eastAsia="ru-RU"/>
        </w:rPr>
        <w:t xml:space="preserve"> </w:t>
      </w:r>
      <w:r w:rsidR="00172C57">
        <w:rPr>
          <w:rFonts w:ascii="Tahoma" w:eastAsia="Times New Roman" w:hAnsi="Tahoma" w:cs="Tahoma"/>
          <w:sz w:val="24"/>
          <w:szCs w:val="24"/>
          <w:lang w:val="en-US" w:eastAsia="ru-RU"/>
        </w:rPr>
        <w:t>profit</w:t>
      </w:r>
      <w:r w:rsidR="00595970" w:rsidRPr="00595970">
        <w:rPr>
          <w:rFonts w:ascii="Tahoma" w:eastAsia="Times New Roman" w:hAnsi="Tahoma" w:cs="Tahoma"/>
          <w:sz w:val="24"/>
          <w:szCs w:val="24"/>
          <w:lang w:val="en-US" w:eastAsia="ru-RU"/>
        </w:rPr>
        <w:t xml:space="preserve"> </w:t>
      </w:r>
      <w:r w:rsidR="007A2E3D">
        <w:rPr>
          <w:rFonts w:ascii="Tahoma" w:eastAsia="Times New Roman" w:hAnsi="Tahoma" w:cs="Tahoma"/>
          <w:sz w:val="24"/>
          <w:szCs w:val="24"/>
          <w:lang w:val="en-US" w:eastAsia="ru-RU"/>
        </w:rPr>
        <w:t xml:space="preserve">amounting to </w:t>
      </w:r>
      <w:r w:rsidR="00A934E3">
        <w:rPr>
          <w:rFonts w:ascii="Tahoma" w:eastAsia="Times New Roman" w:hAnsi="Tahoma" w:cs="Tahoma"/>
          <w:sz w:val="24"/>
          <w:szCs w:val="24"/>
          <w:lang w:val="en-US" w:eastAsia="ru-RU"/>
        </w:rPr>
        <w:t>2</w:t>
      </w:r>
      <w:r w:rsidR="00D06327">
        <w:rPr>
          <w:rFonts w:ascii="Tahoma" w:eastAsia="Times New Roman" w:hAnsi="Tahoma" w:cs="Tahoma"/>
          <w:sz w:val="24"/>
          <w:szCs w:val="24"/>
          <w:lang w:val="en-US" w:eastAsia="ru-RU"/>
        </w:rPr>
        <w:t>,</w:t>
      </w:r>
      <w:r w:rsidR="00A934E3">
        <w:rPr>
          <w:rFonts w:ascii="Tahoma" w:eastAsia="Times New Roman" w:hAnsi="Tahoma" w:cs="Tahoma"/>
          <w:sz w:val="24"/>
          <w:szCs w:val="24"/>
          <w:lang w:val="en-US" w:eastAsia="ru-RU"/>
        </w:rPr>
        <w:t>1</w:t>
      </w:r>
      <w:r w:rsidR="0080790F">
        <w:rPr>
          <w:rFonts w:ascii="Tahoma" w:eastAsia="Times New Roman" w:hAnsi="Tahoma" w:cs="Tahoma"/>
          <w:sz w:val="24"/>
          <w:szCs w:val="24"/>
          <w:lang w:val="en-US" w:eastAsia="ru-RU"/>
        </w:rPr>
        <w:t>3</w:t>
      </w:r>
      <w:r w:rsidR="00A934E3">
        <w:rPr>
          <w:rFonts w:ascii="Tahoma" w:eastAsia="Times New Roman" w:hAnsi="Tahoma" w:cs="Tahoma"/>
          <w:sz w:val="24"/>
          <w:szCs w:val="24"/>
          <w:lang w:val="en-US" w:eastAsia="ru-RU"/>
        </w:rPr>
        <w:t>2</w:t>
      </w:r>
      <w:r w:rsidR="00477F3F">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477F3F">
        <w:rPr>
          <w:rFonts w:ascii="Tahoma" w:eastAsia="Times New Roman" w:hAnsi="Tahoma" w:cs="Tahoma"/>
          <w:sz w:val="24"/>
          <w:szCs w:val="24"/>
          <w:lang w:val="en-US" w:eastAsia="ru-RU"/>
        </w:rPr>
        <w:t xml:space="preserve"> RUB</w:t>
      </w:r>
      <w:r w:rsidR="00595970" w:rsidRPr="00595970">
        <w:rPr>
          <w:rFonts w:ascii="Tahoma" w:eastAsia="Times New Roman" w:hAnsi="Tahoma" w:cs="Tahoma"/>
          <w:sz w:val="24"/>
          <w:szCs w:val="24"/>
          <w:lang w:val="en-US" w:eastAsia="ru-RU"/>
        </w:rPr>
        <w:t>,</w:t>
      </w:r>
      <w:r w:rsidR="00172C57">
        <w:rPr>
          <w:rFonts w:ascii="Tahoma" w:eastAsia="Times New Roman" w:hAnsi="Tahoma" w:cs="Tahoma"/>
          <w:sz w:val="24"/>
          <w:szCs w:val="24"/>
          <w:lang w:val="en-US" w:eastAsia="ru-RU"/>
        </w:rPr>
        <w:t xml:space="preserve"> </w:t>
      </w:r>
      <w:r w:rsidR="0080790F">
        <w:rPr>
          <w:rFonts w:ascii="Tahoma" w:eastAsia="Times New Roman" w:hAnsi="Tahoma" w:cs="Tahoma"/>
          <w:sz w:val="24"/>
          <w:szCs w:val="24"/>
          <w:lang w:val="en-US" w:eastAsia="ru-RU"/>
        </w:rPr>
        <w:t>compared to an adjusted</w:t>
      </w:r>
      <w:r w:rsidR="00A934E3">
        <w:rPr>
          <w:rFonts w:ascii="Tahoma" w:eastAsia="Times New Roman" w:hAnsi="Tahoma" w:cs="Tahoma"/>
          <w:sz w:val="24"/>
          <w:szCs w:val="24"/>
          <w:lang w:val="en-US" w:eastAsia="ru-RU"/>
        </w:rPr>
        <w:t xml:space="preserve"> </w:t>
      </w:r>
      <w:r w:rsidR="0080790F">
        <w:rPr>
          <w:rFonts w:ascii="Tahoma" w:eastAsia="Times New Roman" w:hAnsi="Tahoma" w:cs="Tahoma"/>
          <w:sz w:val="24"/>
          <w:szCs w:val="24"/>
          <w:lang w:val="en-US" w:eastAsia="ru-RU"/>
        </w:rPr>
        <w:t xml:space="preserve">operating </w:t>
      </w:r>
      <w:r w:rsidR="00EB2A47">
        <w:rPr>
          <w:rFonts w:ascii="Tahoma" w:eastAsia="Times New Roman" w:hAnsi="Tahoma" w:cs="Tahoma"/>
          <w:sz w:val="24"/>
          <w:szCs w:val="24"/>
          <w:lang w:val="en-US" w:eastAsia="ru-RU"/>
        </w:rPr>
        <w:t>loss</w:t>
      </w:r>
      <w:r w:rsidR="0080790F">
        <w:rPr>
          <w:rFonts w:ascii="Tahoma" w:eastAsia="Times New Roman" w:hAnsi="Tahoma" w:cs="Tahoma"/>
          <w:sz w:val="24"/>
          <w:szCs w:val="24"/>
          <w:lang w:val="en-US" w:eastAsia="ru-RU"/>
        </w:rPr>
        <w:t xml:space="preserve"> of </w:t>
      </w:r>
      <w:r w:rsidR="00EB2A47">
        <w:rPr>
          <w:rFonts w:ascii="Tahoma" w:eastAsia="Times New Roman" w:hAnsi="Tahoma" w:cs="Tahoma"/>
          <w:sz w:val="24"/>
          <w:szCs w:val="24"/>
          <w:lang w:val="en-US" w:eastAsia="ru-RU"/>
        </w:rPr>
        <w:t>548</w:t>
      </w:r>
      <w:r w:rsidR="0080790F">
        <w:rPr>
          <w:rFonts w:ascii="Tahoma" w:eastAsia="Times New Roman" w:hAnsi="Tahoma" w:cs="Tahoma"/>
          <w:sz w:val="24"/>
          <w:szCs w:val="24"/>
          <w:lang w:val="en-US" w:eastAsia="ru-RU"/>
        </w:rPr>
        <w:t xml:space="preserve"> </w:t>
      </w:r>
      <w:proofErr w:type="spellStart"/>
      <w:r w:rsidR="0080790F">
        <w:rPr>
          <w:rFonts w:ascii="Tahoma" w:eastAsia="Times New Roman" w:hAnsi="Tahoma" w:cs="Tahoma"/>
          <w:sz w:val="24"/>
          <w:szCs w:val="24"/>
          <w:lang w:val="en-US" w:eastAsia="ru-RU"/>
        </w:rPr>
        <w:t>mln</w:t>
      </w:r>
      <w:proofErr w:type="spellEnd"/>
      <w:r w:rsidR="0080790F">
        <w:rPr>
          <w:rFonts w:ascii="Tahoma" w:eastAsia="Times New Roman" w:hAnsi="Tahoma" w:cs="Tahoma"/>
          <w:sz w:val="24"/>
          <w:szCs w:val="24"/>
          <w:lang w:val="en-US" w:eastAsia="ru-RU"/>
        </w:rPr>
        <w:t xml:space="preserve"> RUB</w:t>
      </w:r>
      <w:r w:rsidR="00FD0425">
        <w:rPr>
          <w:rFonts w:ascii="Tahoma" w:eastAsia="Times New Roman" w:hAnsi="Tahoma" w:cs="Tahoma"/>
          <w:sz w:val="24"/>
          <w:szCs w:val="24"/>
          <w:lang w:val="en-US" w:eastAsia="ru-RU"/>
        </w:rPr>
        <w:t xml:space="preserve"> </w:t>
      </w:r>
      <w:r w:rsidR="00973C31">
        <w:rPr>
          <w:rFonts w:ascii="Tahoma" w:eastAsia="Times New Roman" w:hAnsi="Tahoma" w:cs="Tahoma"/>
          <w:sz w:val="24"/>
          <w:szCs w:val="24"/>
          <w:lang w:val="en-US" w:eastAsia="ru-RU"/>
        </w:rPr>
        <w:t>during</w:t>
      </w:r>
      <w:r w:rsidR="007A2E3D">
        <w:rPr>
          <w:rFonts w:ascii="Tahoma" w:eastAsia="Times New Roman" w:hAnsi="Tahoma" w:cs="Tahoma"/>
          <w:sz w:val="24"/>
          <w:szCs w:val="24"/>
          <w:lang w:val="en-US" w:eastAsia="ru-RU"/>
        </w:rPr>
        <w:t xml:space="preserve"> </w:t>
      </w:r>
      <w:r w:rsidR="00595970" w:rsidRPr="00595970">
        <w:rPr>
          <w:rFonts w:ascii="Tahoma" w:eastAsia="Times New Roman" w:hAnsi="Tahoma" w:cs="Tahoma"/>
          <w:sz w:val="24"/>
          <w:szCs w:val="24"/>
          <w:lang w:val="en-US" w:eastAsia="ru-RU"/>
        </w:rPr>
        <w:t xml:space="preserve">the </w:t>
      </w:r>
      <w:r w:rsidR="00FD0425">
        <w:rPr>
          <w:rFonts w:ascii="Tahoma" w:eastAsia="Times New Roman" w:hAnsi="Tahoma" w:cs="Tahoma"/>
          <w:sz w:val="24"/>
          <w:szCs w:val="24"/>
          <w:lang w:val="en-US" w:eastAsia="ru-RU"/>
        </w:rPr>
        <w:t>same period last</w:t>
      </w:r>
      <w:r w:rsidR="00595970" w:rsidRPr="00595970">
        <w:rPr>
          <w:rFonts w:ascii="Tahoma" w:eastAsia="Times New Roman" w:hAnsi="Tahoma" w:cs="Tahoma"/>
          <w:sz w:val="24"/>
          <w:szCs w:val="24"/>
          <w:lang w:val="en-US" w:eastAsia="ru-RU"/>
        </w:rPr>
        <w:t xml:space="preserve"> year. </w:t>
      </w:r>
      <w:r w:rsidR="00EB2A47">
        <w:rPr>
          <w:rFonts w:ascii="Tahoma" w:eastAsia="Times New Roman" w:hAnsi="Tahoma" w:cs="Tahoma"/>
          <w:sz w:val="24"/>
          <w:szCs w:val="24"/>
          <w:lang w:val="en-US" w:eastAsia="ru-RU"/>
        </w:rPr>
        <w:t xml:space="preserve">The </w:t>
      </w:r>
      <w:proofErr w:type="gramStart"/>
      <w:r w:rsidR="00EB2A47">
        <w:rPr>
          <w:rFonts w:ascii="Tahoma" w:eastAsia="Times New Roman" w:hAnsi="Tahoma" w:cs="Tahoma"/>
          <w:sz w:val="24"/>
          <w:szCs w:val="24"/>
          <w:lang w:val="en-US" w:eastAsia="ru-RU"/>
        </w:rPr>
        <w:t>reason for the improvement of operational results were</w:t>
      </w:r>
      <w:proofErr w:type="gramEnd"/>
      <w:r w:rsidR="00EB2A47">
        <w:rPr>
          <w:rFonts w:ascii="Tahoma" w:eastAsia="Times New Roman" w:hAnsi="Tahoma" w:cs="Tahoma"/>
          <w:sz w:val="24"/>
          <w:szCs w:val="24"/>
          <w:lang w:val="en-US" w:eastAsia="ru-RU"/>
        </w:rPr>
        <w:t xml:space="preserve"> in growing electricity and heat sales tariffs starting from July 1, 2013 over fuel prices.</w:t>
      </w:r>
    </w:p>
    <w:p w:rsidR="003140E1" w:rsidRPr="00A34513" w:rsidRDefault="003140E1" w:rsidP="00595970">
      <w:pPr>
        <w:spacing w:after="0" w:line="240" w:lineRule="auto"/>
        <w:jc w:val="both"/>
        <w:rPr>
          <w:rFonts w:ascii="Tahoma" w:eastAsia="Times New Roman" w:hAnsi="Tahoma" w:cs="Tahoma"/>
          <w:sz w:val="24"/>
          <w:szCs w:val="24"/>
          <w:lang w:val="en-US" w:eastAsia="ru-RU"/>
        </w:rPr>
      </w:pPr>
    </w:p>
    <w:p w:rsidR="00595970" w:rsidRPr="009D3CAF" w:rsidRDefault="00A00DDC" w:rsidP="00595970">
      <w:pPr>
        <w:spacing w:after="0" w:line="240" w:lineRule="auto"/>
        <w:jc w:val="both"/>
        <w:rPr>
          <w:rFonts w:ascii="Tahoma" w:eastAsia="Times New Roman" w:hAnsi="Tahoma" w:cs="Tahoma"/>
          <w:sz w:val="24"/>
          <w:szCs w:val="24"/>
          <w:lang w:val="en-US" w:eastAsia="ru-RU"/>
        </w:rPr>
      </w:pPr>
      <w:r w:rsidRPr="009D3CAF">
        <w:rPr>
          <w:rFonts w:ascii="Tahoma" w:eastAsia="Times New Roman" w:hAnsi="Tahoma" w:cs="Tahoma"/>
          <w:sz w:val="24"/>
          <w:szCs w:val="24"/>
          <w:lang w:val="en-US" w:eastAsia="ru-RU"/>
        </w:rPr>
        <w:t xml:space="preserve">EBITDA for the </w:t>
      </w:r>
      <w:r w:rsidR="00FD0425" w:rsidRPr="009D3CAF">
        <w:rPr>
          <w:rFonts w:ascii="Tahoma" w:eastAsia="Times New Roman" w:hAnsi="Tahoma" w:cs="Tahoma"/>
          <w:sz w:val="24"/>
          <w:szCs w:val="24"/>
          <w:lang w:val="en-US" w:eastAsia="ru-RU"/>
        </w:rPr>
        <w:t>period</w:t>
      </w:r>
      <w:r w:rsidRPr="009D3CAF">
        <w:rPr>
          <w:rFonts w:ascii="Tahoma" w:eastAsia="Times New Roman" w:hAnsi="Tahoma" w:cs="Tahoma"/>
          <w:sz w:val="24"/>
          <w:szCs w:val="24"/>
          <w:lang w:val="en-US" w:eastAsia="ru-RU"/>
        </w:rPr>
        <w:t xml:space="preserve"> </w:t>
      </w:r>
      <w:r w:rsidR="00417371">
        <w:rPr>
          <w:rFonts w:ascii="Tahoma" w:eastAsia="Times New Roman" w:hAnsi="Tahoma" w:cs="Tahoma"/>
          <w:sz w:val="24"/>
          <w:szCs w:val="24"/>
          <w:lang w:val="en-US" w:eastAsia="ru-RU"/>
        </w:rPr>
        <w:t>increased</w:t>
      </w:r>
      <w:r w:rsidRPr="009D3CAF">
        <w:rPr>
          <w:rFonts w:ascii="Tahoma" w:eastAsia="Times New Roman" w:hAnsi="Tahoma" w:cs="Tahoma"/>
          <w:sz w:val="24"/>
          <w:szCs w:val="24"/>
          <w:lang w:val="en-US" w:eastAsia="ru-RU"/>
        </w:rPr>
        <w:t xml:space="preserve"> by </w:t>
      </w:r>
      <w:r w:rsidR="00EB2A47">
        <w:rPr>
          <w:rFonts w:ascii="Tahoma" w:eastAsia="Times New Roman" w:hAnsi="Tahoma" w:cs="Tahoma"/>
          <w:sz w:val="24"/>
          <w:szCs w:val="24"/>
          <w:lang w:val="en-US" w:eastAsia="ru-RU"/>
        </w:rPr>
        <w:t>1</w:t>
      </w:r>
      <w:r w:rsidR="00417371">
        <w:rPr>
          <w:rFonts w:ascii="Tahoma" w:eastAsia="Times New Roman" w:hAnsi="Tahoma" w:cs="Tahoma"/>
          <w:sz w:val="24"/>
          <w:szCs w:val="24"/>
          <w:lang w:val="en-US" w:eastAsia="ru-RU"/>
        </w:rPr>
        <w:t>2</w:t>
      </w:r>
      <w:r w:rsidR="00EB2A47">
        <w:rPr>
          <w:rFonts w:ascii="Tahoma" w:eastAsia="Times New Roman" w:hAnsi="Tahoma" w:cs="Tahoma"/>
          <w:sz w:val="24"/>
          <w:szCs w:val="24"/>
          <w:lang w:val="en-US" w:eastAsia="ru-RU"/>
        </w:rPr>
        <w:t>6</w:t>
      </w:r>
      <w:r w:rsidRPr="009D3CAF">
        <w:rPr>
          <w:rFonts w:ascii="Tahoma" w:eastAsia="Times New Roman" w:hAnsi="Tahoma" w:cs="Tahoma"/>
          <w:sz w:val="24"/>
          <w:szCs w:val="24"/>
          <w:lang w:val="en-US" w:eastAsia="ru-RU"/>
        </w:rPr>
        <w:t>%</w:t>
      </w:r>
      <w:r w:rsidR="007A68F2">
        <w:rPr>
          <w:rFonts w:ascii="Tahoma" w:eastAsia="Times New Roman" w:hAnsi="Tahoma" w:cs="Tahoma"/>
          <w:sz w:val="24"/>
          <w:szCs w:val="24"/>
          <w:lang w:val="en-US" w:eastAsia="ru-RU"/>
        </w:rPr>
        <w:t>,</w:t>
      </w:r>
      <w:r w:rsidRPr="009D3CAF">
        <w:rPr>
          <w:rFonts w:ascii="Tahoma" w:eastAsia="Times New Roman" w:hAnsi="Tahoma" w:cs="Tahoma"/>
          <w:sz w:val="24"/>
          <w:szCs w:val="24"/>
          <w:lang w:val="en-US" w:eastAsia="ru-RU"/>
        </w:rPr>
        <w:t xml:space="preserve"> totaling </w:t>
      </w:r>
      <w:r w:rsidR="00EB2A47">
        <w:rPr>
          <w:rFonts w:ascii="Tahoma" w:eastAsia="Times New Roman" w:hAnsi="Tahoma" w:cs="Tahoma"/>
          <w:sz w:val="24"/>
          <w:szCs w:val="24"/>
          <w:lang w:val="en-US" w:eastAsia="ru-RU"/>
        </w:rPr>
        <w:t>5</w:t>
      </w:r>
      <w:r w:rsidR="005752FD">
        <w:rPr>
          <w:rFonts w:ascii="Tahoma" w:eastAsia="Times New Roman" w:hAnsi="Tahoma" w:cs="Tahoma"/>
          <w:sz w:val="24"/>
          <w:szCs w:val="24"/>
          <w:lang w:val="en-US" w:eastAsia="ru-RU"/>
        </w:rPr>
        <w:t>,</w:t>
      </w:r>
      <w:r w:rsidR="00172C57">
        <w:rPr>
          <w:rFonts w:ascii="Tahoma" w:eastAsia="Times New Roman" w:hAnsi="Tahoma" w:cs="Tahoma"/>
          <w:sz w:val="24"/>
          <w:szCs w:val="24"/>
          <w:lang w:val="en-US" w:eastAsia="ru-RU"/>
        </w:rPr>
        <w:t>7</w:t>
      </w:r>
      <w:r w:rsidR="00EB2A47">
        <w:rPr>
          <w:rFonts w:ascii="Tahoma" w:eastAsia="Times New Roman" w:hAnsi="Tahoma" w:cs="Tahoma"/>
          <w:sz w:val="24"/>
          <w:szCs w:val="24"/>
          <w:lang w:val="en-US" w:eastAsia="ru-RU"/>
        </w:rPr>
        <w:t>66</w:t>
      </w:r>
      <w:r w:rsidR="005362F1" w:rsidRPr="009D3CAF">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Pr="009D3CAF">
        <w:rPr>
          <w:rFonts w:ascii="Tahoma" w:eastAsia="Times New Roman" w:hAnsi="Tahoma" w:cs="Tahoma"/>
          <w:sz w:val="24"/>
          <w:szCs w:val="24"/>
          <w:lang w:val="en-US" w:eastAsia="ru-RU"/>
        </w:rPr>
        <w:t xml:space="preserve"> </w:t>
      </w:r>
      <w:r w:rsidR="001E36C5" w:rsidRPr="009D3CAF">
        <w:rPr>
          <w:rFonts w:ascii="Tahoma" w:eastAsia="Times New Roman" w:hAnsi="Tahoma" w:cs="Tahoma"/>
          <w:sz w:val="24"/>
          <w:szCs w:val="24"/>
          <w:lang w:val="en-US" w:eastAsia="ru-RU"/>
        </w:rPr>
        <w:t>RUB</w:t>
      </w:r>
      <w:r w:rsidR="00EB2A47">
        <w:rPr>
          <w:rFonts w:ascii="Tahoma" w:eastAsia="Times New Roman" w:hAnsi="Tahoma" w:cs="Tahoma"/>
          <w:sz w:val="24"/>
          <w:szCs w:val="24"/>
          <w:lang w:val="en-US" w:eastAsia="ru-RU"/>
        </w:rPr>
        <w:t xml:space="preserve"> due to the growth of electricity and heat sales margins resulted from the tariff growth outpacing fuel prices</w:t>
      </w:r>
      <w:proofErr w:type="gramStart"/>
      <w:r w:rsidR="00EB2A47">
        <w:rPr>
          <w:rFonts w:ascii="Tahoma" w:eastAsia="Times New Roman" w:hAnsi="Tahoma" w:cs="Tahoma"/>
          <w:sz w:val="24"/>
          <w:szCs w:val="24"/>
          <w:lang w:val="en-US" w:eastAsia="ru-RU"/>
        </w:rPr>
        <w:t>.</w:t>
      </w:r>
      <w:r w:rsidR="009D3CAF" w:rsidRPr="009D3CAF">
        <w:rPr>
          <w:rFonts w:ascii="Tahoma" w:eastAsia="Times New Roman" w:hAnsi="Tahoma" w:cs="Tahoma"/>
          <w:sz w:val="24"/>
          <w:szCs w:val="24"/>
          <w:lang w:val="en-US" w:eastAsia="ru-RU"/>
        </w:rPr>
        <w:t>.</w:t>
      </w:r>
      <w:proofErr w:type="gramEnd"/>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Group's </w:t>
      </w:r>
      <w:r w:rsidR="00EB2A47">
        <w:rPr>
          <w:rFonts w:ascii="Tahoma" w:eastAsia="Times New Roman" w:hAnsi="Tahoma" w:cs="Tahoma"/>
          <w:sz w:val="24"/>
          <w:szCs w:val="24"/>
          <w:lang w:val="en-US" w:eastAsia="ru-RU"/>
        </w:rPr>
        <w:t xml:space="preserve">adjusted </w:t>
      </w:r>
      <w:r w:rsidR="00172C57">
        <w:rPr>
          <w:rFonts w:ascii="Tahoma" w:eastAsia="Times New Roman" w:hAnsi="Tahoma" w:cs="Tahoma"/>
          <w:sz w:val="24"/>
          <w:szCs w:val="24"/>
          <w:lang w:val="en-US" w:eastAsia="ru-RU"/>
        </w:rPr>
        <w:t xml:space="preserve">net </w:t>
      </w:r>
      <w:r w:rsidR="00EB2A47">
        <w:rPr>
          <w:rFonts w:ascii="Tahoma" w:eastAsia="Times New Roman" w:hAnsi="Tahoma" w:cs="Tahoma"/>
          <w:sz w:val="24"/>
          <w:szCs w:val="24"/>
          <w:lang w:val="en-US" w:eastAsia="ru-RU"/>
        </w:rPr>
        <w:t>loss</w:t>
      </w:r>
      <w:r w:rsidR="00172C57">
        <w:rPr>
          <w:rFonts w:ascii="Tahoma" w:eastAsia="Times New Roman" w:hAnsi="Tahoma" w:cs="Tahoma"/>
          <w:sz w:val="24"/>
          <w:szCs w:val="24"/>
          <w:lang w:val="en-US" w:eastAsia="ru-RU"/>
        </w:rPr>
        <w:t xml:space="preserve"> in accordance with IFRS </w:t>
      </w:r>
      <w:r w:rsidR="00A00DDC">
        <w:rPr>
          <w:rFonts w:ascii="Tahoma" w:eastAsia="Times New Roman" w:hAnsi="Tahoma" w:cs="Tahoma"/>
          <w:sz w:val="24"/>
          <w:szCs w:val="24"/>
          <w:lang w:val="en-US" w:eastAsia="ru-RU"/>
        </w:rPr>
        <w:t xml:space="preserve">for </w:t>
      </w:r>
      <w:r w:rsidR="00172C57">
        <w:rPr>
          <w:rFonts w:ascii="Tahoma" w:eastAsia="Times New Roman" w:hAnsi="Tahoma" w:cs="Tahoma"/>
          <w:sz w:val="24"/>
          <w:szCs w:val="24"/>
          <w:lang w:val="en-US" w:eastAsia="ru-RU"/>
        </w:rPr>
        <w:t xml:space="preserve">the </w:t>
      </w:r>
      <w:r w:rsidR="00EB2A47">
        <w:rPr>
          <w:rFonts w:ascii="Tahoma" w:eastAsia="Times New Roman" w:hAnsi="Tahoma" w:cs="Tahoma"/>
          <w:sz w:val="24"/>
          <w:szCs w:val="24"/>
          <w:lang w:val="en-US" w:eastAsia="ru-RU"/>
        </w:rPr>
        <w:t>9 months</w:t>
      </w:r>
      <w:r w:rsidR="00417371">
        <w:rPr>
          <w:rFonts w:ascii="Tahoma" w:eastAsia="Times New Roman" w:hAnsi="Tahoma" w:cs="Tahoma"/>
          <w:sz w:val="24"/>
          <w:szCs w:val="24"/>
          <w:lang w:val="en-US" w:eastAsia="ru-RU"/>
        </w:rPr>
        <w:t xml:space="preserve"> of </w:t>
      </w:r>
      <w:r w:rsidR="00397BD6">
        <w:rPr>
          <w:rFonts w:ascii="Tahoma" w:eastAsia="Times New Roman" w:hAnsi="Tahoma" w:cs="Tahoma"/>
          <w:sz w:val="24"/>
          <w:szCs w:val="24"/>
          <w:lang w:val="en-US" w:eastAsia="ru-RU"/>
        </w:rPr>
        <w:t>201</w:t>
      </w:r>
      <w:r w:rsidR="00172C57">
        <w:rPr>
          <w:rFonts w:ascii="Tahoma" w:eastAsia="Times New Roman" w:hAnsi="Tahoma" w:cs="Tahoma"/>
          <w:sz w:val="24"/>
          <w:szCs w:val="24"/>
          <w:lang w:val="en-US" w:eastAsia="ru-RU"/>
        </w:rPr>
        <w:t>3</w:t>
      </w:r>
      <w:r w:rsidR="00A00DDC">
        <w:rPr>
          <w:rFonts w:ascii="Tahoma" w:eastAsia="Times New Roman" w:hAnsi="Tahoma" w:cs="Tahoma"/>
          <w:sz w:val="24"/>
          <w:szCs w:val="24"/>
          <w:lang w:val="en-US" w:eastAsia="ru-RU"/>
        </w:rPr>
        <w:t xml:space="preserve"> amounted to </w:t>
      </w:r>
      <w:r w:rsidR="00EB2A47">
        <w:rPr>
          <w:rFonts w:ascii="Tahoma" w:eastAsia="Times New Roman" w:hAnsi="Tahoma" w:cs="Tahoma"/>
          <w:sz w:val="24"/>
          <w:szCs w:val="24"/>
          <w:lang w:val="en-US" w:eastAsia="ru-RU"/>
        </w:rPr>
        <w:t>1</w:t>
      </w:r>
      <w:r w:rsidR="008D0002">
        <w:rPr>
          <w:rFonts w:ascii="Tahoma" w:eastAsia="Times New Roman" w:hAnsi="Tahoma" w:cs="Tahoma"/>
          <w:bCs/>
          <w:color w:val="000000"/>
          <w:sz w:val="24"/>
          <w:szCs w:val="24"/>
          <w:lang w:val="en-US" w:eastAsia="ru-RU"/>
        </w:rPr>
        <w:t>,</w:t>
      </w:r>
      <w:r w:rsidR="00EB2A47">
        <w:rPr>
          <w:rFonts w:ascii="Tahoma" w:eastAsia="Times New Roman" w:hAnsi="Tahoma" w:cs="Tahoma"/>
          <w:bCs/>
          <w:color w:val="000000"/>
          <w:sz w:val="24"/>
          <w:szCs w:val="24"/>
          <w:lang w:val="en-US" w:eastAsia="ru-RU"/>
        </w:rPr>
        <w:t>489</w:t>
      </w:r>
      <w:r w:rsidR="009C1A10">
        <w:rPr>
          <w:rFonts w:ascii="Tahoma" w:eastAsia="Times New Roman" w:hAnsi="Tahoma" w:cs="Tahoma"/>
          <w:bCs/>
          <w:color w:val="000000"/>
          <w:sz w:val="24"/>
          <w:szCs w:val="24"/>
          <w:lang w:val="en-US" w:eastAsia="ru-RU"/>
        </w:rPr>
        <w:t xml:space="preserve"> </w:t>
      </w:r>
      <w:r w:rsidR="002C260F">
        <w:rPr>
          <w:rFonts w:ascii="Tahoma" w:eastAsia="Times New Roman" w:hAnsi="Tahoma" w:cs="Tahoma"/>
          <w:sz w:val="24"/>
          <w:szCs w:val="24"/>
          <w:lang w:val="en-US" w:eastAsia="ru-RU"/>
        </w:rPr>
        <w:t>million</w:t>
      </w:r>
      <w:r w:rsidRPr="00595970">
        <w:rPr>
          <w:rFonts w:ascii="Tahoma" w:eastAsia="Times New Roman" w:hAnsi="Tahoma" w:cs="Tahoma"/>
          <w:sz w:val="24"/>
          <w:szCs w:val="24"/>
          <w:lang w:val="en-US" w:eastAsia="ru-RU"/>
        </w:rPr>
        <w:t xml:space="preserve"> </w:t>
      </w:r>
      <w:r w:rsidR="001E36C5">
        <w:rPr>
          <w:rFonts w:ascii="Tahoma" w:eastAsia="Times New Roman" w:hAnsi="Tahoma" w:cs="Tahoma"/>
          <w:sz w:val="24"/>
          <w:szCs w:val="24"/>
          <w:lang w:val="en-US" w:eastAsia="ru-RU"/>
        </w:rPr>
        <w:t>RUB</w:t>
      </w:r>
      <w:r w:rsidR="00172C57">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 xml:space="preserve">or 38% less than in </w:t>
      </w:r>
      <w:r w:rsidR="00172C57">
        <w:rPr>
          <w:rFonts w:ascii="Tahoma" w:eastAsia="Times New Roman" w:hAnsi="Tahoma" w:cs="Tahoma"/>
          <w:sz w:val="24"/>
          <w:szCs w:val="24"/>
          <w:lang w:val="en-US" w:eastAsia="ru-RU"/>
        </w:rPr>
        <w:t>the period a</w:t>
      </w:r>
      <w:r w:rsidR="00A00DDC">
        <w:rPr>
          <w:rFonts w:ascii="Tahoma" w:eastAsia="Times New Roman" w:hAnsi="Tahoma" w:cs="Tahoma"/>
          <w:sz w:val="24"/>
          <w:szCs w:val="24"/>
          <w:lang w:val="en-US" w:eastAsia="ru-RU"/>
        </w:rPr>
        <w:t xml:space="preserve"> year earlier</w:t>
      </w:r>
      <w:r w:rsidRPr="00595970">
        <w:rPr>
          <w:rFonts w:ascii="Tahoma" w:eastAsia="Times New Roman" w:hAnsi="Tahoma" w:cs="Tahoma"/>
          <w:sz w:val="24"/>
          <w:szCs w:val="24"/>
          <w:lang w:val="en-US" w:eastAsia="ru-RU"/>
        </w:rPr>
        <w:t>.</w:t>
      </w:r>
      <w:r w:rsidR="00397BD6">
        <w:rPr>
          <w:rFonts w:ascii="Tahoma" w:eastAsia="Times New Roman" w:hAnsi="Tahoma" w:cs="Tahoma"/>
          <w:sz w:val="24"/>
          <w:szCs w:val="24"/>
          <w:lang w:val="en-US" w:eastAsia="ru-RU"/>
        </w:rPr>
        <w:t xml:space="preserve"> </w:t>
      </w:r>
      <w:r w:rsidR="00706F5C">
        <w:rPr>
          <w:rFonts w:ascii="Tahoma" w:eastAsia="Times New Roman" w:hAnsi="Tahoma" w:cs="Tahoma"/>
          <w:sz w:val="24"/>
          <w:szCs w:val="24"/>
          <w:lang w:val="en-US" w:eastAsia="ru-RU"/>
        </w:rPr>
        <w:t>The Group</w:t>
      </w:r>
      <w:r w:rsidR="00172C57">
        <w:rPr>
          <w:rFonts w:ascii="Tahoma" w:eastAsia="Times New Roman" w:hAnsi="Tahoma" w:cs="Tahoma"/>
          <w:sz w:val="24"/>
          <w:szCs w:val="24"/>
          <w:lang w:val="en-US" w:eastAsia="ru-RU"/>
        </w:rPr>
        <w:t>’s</w:t>
      </w:r>
      <w:r w:rsidR="00706F5C">
        <w:rPr>
          <w:rFonts w:ascii="Tahoma" w:eastAsia="Times New Roman" w:hAnsi="Tahoma" w:cs="Tahoma"/>
          <w:sz w:val="24"/>
          <w:szCs w:val="24"/>
          <w:lang w:val="en-US" w:eastAsia="ru-RU"/>
        </w:rPr>
        <w:t xml:space="preserve"> t</w:t>
      </w:r>
      <w:r w:rsidR="00706F5C" w:rsidRPr="00706F5C">
        <w:rPr>
          <w:rFonts w:ascii="Tahoma" w:eastAsia="Times New Roman" w:hAnsi="Tahoma" w:cs="Tahoma"/>
          <w:sz w:val="24"/>
          <w:szCs w:val="24"/>
          <w:lang w:val="en-US" w:eastAsia="ru-RU"/>
        </w:rPr>
        <w:t xml:space="preserve">otal comprehensive </w:t>
      </w:r>
      <w:r w:rsidR="00EB2A47">
        <w:rPr>
          <w:rFonts w:ascii="Tahoma" w:eastAsia="Times New Roman" w:hAnsi="Tahoma" w:cs="Tahoma"/>
          <w:sz w:val="24"/>
          <w:szCs w:val="24"/>
          <w:lang w:val="en-US" w:eastAsia="ru-RU"/>
        </w:rPr>
        <w:t>loss</w:t>
      </w:r>
      <w:r w:rsidR="00706F5C" w:rsidRPr="00706F5C">
        <w:rPr>
          <w:rFonts w:ascii="Tahoma" w:eastAsia="Times New Roman" w:hAnsi="Tahoma" w:cs="Tahoma"/>
          <w:sz w:val="24"/>
          <w:szCs w:val="24"/>
          <w:lang w:val="en-US" w:eastAsia="ru-RU"/>
        </w:rPr>
        <w:t xml:space="preserve"> for the </w:t>
      </w:r>
      <w:r w:rsidR="00397BD6">
        <w:rPr>
          <w:rFonts w:ascii="Tahoma" w:eastAsia="Times New Roman" w:hAnsi="Tahoma" w:cs="Tahoma"/>
          <w:sz w:val="24"/>
          <w:szCs w:val="24"/>
          <w:lang w:val="en-US" w:eastAsia="ru-RU"/>
        </w:rPr>
        <w:t>period</w:t>
      </w:r>
      <w:r w:rsidRPr="00595970">
        <w:rPr>
          <w:rFonts w:ascii="Tahoma" w:eastAsia="Times New Roman" w:hAnsi="Tahoma" w:cs="Tahoma"/>
          <w:sz w:val="24"/>
          <w:szCs w:val="24"/>
          <w:lang w:val="en-US" w:eastAsia="ru-RU"/>
        </w:rPr>
        <w:t xml:space="preserve"> </w:t>
      </w:r>
      <w:r w:rsidR="001F27CD">
        <w:rPr>
          <w:rFonts w:ascii="Tahoma" w:eastAsia="Times New Roman" w:hAnsi="Tahoma" w:cs="Tahoma"/>
          <w:sz w:val="24"/>
          <w:szCs w:val="24"/>
          <w:lang w:val="en-US" w:eastAsia="ru-RU"/>
        </w:rPr>
        <w:t>total</w:t>
      </w:r>
      <w:r w:rsidR="00172C57">
        <w:rPr>
          <w:rFonts w:ascii="Tahoma" w:eastAsia="Times New Roman" w:hAnsi="Tahoma" w:cs="Tahoma"/>
          <w:sz w:val="24"/>
          <w:szCs w:val="24"/>
          <w:lang w:val="en-US" w:eastAsia="ru-RU"/>
        </w:rPr>
        <w:t>ed</w:t>
      </w:r>
      <w:r w:rsidR="000B1F10">
        <w:rPr>
          <w:rFonts w:ascii="Tahoma" w:eastAsia="Times New Roman" w:hAnsi="Tahoma" w:cs="Tahoma"/>
          <w:sz w:val="24"/>
          <w:szCs w:val="24"/>
          <w:lang w:val="en-US" w:eastAsia="ru-RU"/>
        </w:rPr>
        <w:t xml:space="preserve"> </w:t>
      </w:r>
      <w:r w:rsidR="00417371">
        <w:rPr>
          <w:rFonts w:ascii="Tahoma" w:eastAsia="Times New Roman" w:hAnsi="Tahoma" w:cs="Tahoma"/>
          <w:sz w:val="24"/>
          <w:szCs w:val="24"/>
          <w:lang w:val="en-US" w:eastAsia="ru-RU"/>
        </w:rPr>
        <w:t>8</w:t>
      </w:r>
      <w:r w:rsidR="00EB2A47">
        <w:rPr>
          <w:rFonts w:ascii="Tahoma" w:eastAsia="Times New Roman" w:hAnsi="Tahoma" w:cs="Tahoma"/>
          <w:sz w:val="24"/>
          <w:szCs w:val="24"/>
          <w:lang w:val="en-US" w:eastAsia="ru-RU"/>
        </w:rPr>
        <w:t>60</w:t>
      </w:r>
      <w:r w:rsidR="00706F5C">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706F5C">
        <w:rPr>
          <w:rFonts w:ascii="Tahoma" w:eastAsia="Times New Roman" w:hAnsi="Tahoma" w:cs="Tahoma"/>
          <w:sz w:val="24"/>
          <w:szCs w:val="24"/>
          <w:lang w:val="en-US" w:eastAsia="ru-RU"/>
        </w:rPr>
        <w:t xml:space="preserve"> </w:t>
      </w:r>
      <w:r w:rsidR="001E36C5">
        <w:rPr>
          <w:rFonts w:ascii="Tahoma" w:eastAsia="Times New Roman" w:hAnsi="Tahoma" w:cs="Tahoma"/>
          <w:sz w:val="24"/>
          <w:szCs w:val="24"/>
          <w:lang w:val="en-US" w:eastAsia="ru-RU"/>
        </w:rPr>
        <w:t>RUB</w:t>
      </w:r>
      <w:r w:rsidR="00973C31">
        <w:rPr>
          <w:rFonts w:ascii="Tahoma" w:eastAsia="Times New Roman" w:hAnsi="Tahoma" w:cs="Tahoma"/>
          <w:sz w:val="24"/>
          <w:szCs w:val="24"/>
          <w:lang w:val="en-US" w:eastAsia="ru-RU"/>
        </w:rPr>
        <w:t xml:space="preserve">, compared to a </w:t>
      </w:r>
      <w:r w:rsidR="00417371">
        <w:rPr>
          <w:rFonts w:ascii="Tahoma" w:eastAsia="Times New Roman" w:hAnsi="Tahoma" w:cs="Tahoma"/>
          <w:sz w:val="24"/>
          <w:szCs w:val="24"/>
          <w:lang w:val="en-US" w:eastAsia="ru-RU"/>
        </w:rPr>
        <w:t xml:space="preserve">loss </w:t>
      </w:r>
      <w:r w:rsidR="00646E26">
        <w:rPr>
          <w:rFonts w:ascii="Tahoma" w:eastAsia="Times New Roman" w:hAnsi="Tahoma" w:cs="Tahoma"/>
          <w:sz w:val="24"/>
          <w:szCs w:val="24"/>
          <w:lang w:val="en-US" w:eastAsia="ru-RU"/>
        </w:rPr>
        <w:t xml:space="preserve">of </w:t>
      </w:r>
      <w:r w:rsidR="00EB2A47">
        <w:rPr>
          <w:rFonts w:ascii="Tahoma" w:eastAsia="Times New Roman" w:hAnsi="Tahoma" w:cs="Tahoma"/>
          <w:sz w:val="24"/>
          <w:szCs w:val="24"/>
          <w:lang w:val="en-US" w:eastAsia="ru-RU"/>
        </w:rPr>
        <w:t>9</w:t>
      </w:r>
      <w:r w:rsidR="005752FD">
        <w:rPr>
          <w:rFonts w:ascii="Tahoma" w:eastAsia="Times New Roman" w:hAnsi="Tahoma" w:cs="Tahoma"/>
          <w:bCs/>
          <w:color w:val="000000"/>
          <w:sz w:val="24"/>
          <w:szCs w:val="24"/>
          <w:lang w:val="en-US" w:eastAsia="ru-RU"/>
        </w:rPr>
        <w:t>,</w:t>
      </w:r>
      <w:r w:rsidR="00EB2A47">
        <w:rPr>
          <w:rFonts w:ascii="Tahoma" w:eastAsia="Times New Roman" w:hAnsi="Tahoma" w:cs="Tahoma"/>
          <w:bCs/>
          <w:color w:val="000000"/>
          <w:sz w:val="24"/>
          <w:szCs w:val="24"/>
          <w:lang w:val="en-US" w:eastAsia="ru-RU"/>
        </w:rPr>
        <w:t>870</w:t>
      </w:r>
      <w:r w:rsidR="00973C31">
        <w:rPr>
          <w:rFonts w:ascii="Tahoma" w:eastAsia="Times New Roman" w:hAnsi="Tahoma" w:cs="Tahoma"/>
          <w:bCs/>
          <w:color w:val="000000"/>
          <w:sz w:val="24"/>
          <w:szCs w:val="24"/>
          <w:lang w:val="en-US" w:eastAsia="ru-RU"/>
        </w:rPr>
        <w:t xml:space="preserve"> </w:t>
      </w:r>
      <w:r w:rsidR="002C260F">
        <w:rPr>
          <w:rFonts w:ascii="Tahoma" w:eastAsia="Times New Roman" w:hAnsi="Tahoma" w:cs="Tahoma"/>
          <w:bCs/>
          <w:color w:val="000000"/>
          <w:sz w:val="24"/>
          <w:szCs w:val="24"/>
          <w:lang w:val="en-US" w:eastAsia="ru-RU"/>
        </w:rPr>
        <w:t>million</w:t>
      </w:r>
      <w:r w:rsidR="00973C31">
        <w:rPr>
          <w:rFonts w:ascii="Tahoma" w:eastAsia="Times New Roman" w:hAnsi="Tahoma" w:cs="Tahoma"/>
          <w:bCs/>
          <w:color w:val="000000"/>
          <w:sz w:val="24"/>
          <w:szCs w:val="24"/>
          <w:lang w:val="en-US" w:eastAsia="ru-RU"/>
        </w:rPr>
        <w:t xml:space="preserve"> RUB </w:t>
      </w:r>
      <w:r w:rsidR="00A87703">
        <w:rPr>
          <w:rFonts w:ascii="Tahoma" w:eastAsia="Times New Roman" w:hAnsi="Tahoma" w:cs="Tahoma"/>
          <w:sz w:val="24"/>
          <w:szCs w:val="24"/>
          <w:lang w:val="en-US" w:eastAsia="ru-RU"/>
        </w:rPr>
        <w:t xml:space="preserve">in </w:t>
      </w:r>
      <w:r w:rsidR="00A55A78">
        <w:rPr>
          <w:rFonts w:ascii="Tahoma" w:eastAsia="Times New Roman" w:hAnsi="Tahoma" w:cs="Tahoma"/>
          <w:sz w:val="24"/>
          <w:szCs w:val="24"/>
          <w:lang w:val="en-US" w:eastAsia="ru-RU"/>
        </w:rPr>
        <w:t xml:space="preserve">the </w:t>
      </w:r>
      <w:r w:rsidR="00EB2A47">
        <w:rPr>
          <w:rFonts w:ascii="Tahoma" w:eastAsia="Times New Roman" w:hAnsi="Tahoma" w:cs="Tahoma"/>
          <w:sz w:val="24"/>
          <w:szCs w:val="24"/>
          <w:lang w:val="en-US" w:eastAsia="ru-RU"/>
        </w:rPr>
        <w:t>9 months</w:t>
      </w:r>
      <w:r w:rsidR="00417371">
        <w:rPr>
          <w:rFonts w:ascii="Tahoma" w:eastAsia="Times New Roman" w:hAnsi="Tahoma" w:cs="Tahoma"/>
          <w:sz w:val="24"/>
          <w:szCs w:val="24"/>
          <w:lang w:val="en-US" w:eastAsia="ru-RU"/>
        </w:rPr>
        <w:t xml:space="preserve"> </w:t>
      </w:r>
      <w:r w:rsidR="00A87703">
        <w:rPr>
          <w:rFonts w:ascii="Tahoma" w:eastAsia="Times New Roman" w:hAnsi="Tahoma" w:cs="Tahoma"/>
          <w:sz w:val="24"/>
          <w:szCs w:val="24"/>
          <w:lang w:val="en-US" w:eastAsia="ru-RU"/>
        </w:rPr>
        <w:t xml:space="preserve">of </w:t>
      </w:r>
      <w:r w:rsidR="00A55A78">
        <w:rPr>
          <w:rFonts w:ascii="Tahoma" w:eastAsia="Times New Roman" w:hAnsi="Tahoma" w:cs="Tahoma"/>
          <w:sz w:val="24"/>
          <w:szCs w:val="24"/>
          <w:lang w:val="en-US" w:eastAsia="ru-RU"/>
        </w:rPr>
        <w:t>201</w:t>
      </w:r>
      <w:r w:rsidR="00172C57">
        <w:rPr>
          <w:rFonts w:ascii="Tahoma" w:eastAsia="Times New Roman" w:hAnsi="Tahoma" w:cs="Tahoma"/>
          <w:sz w:val="24"/>
          <w:szCs w:val="24"/>
          <w:lang w:val="en-US" w:eastAsia="ru-RU"/>
        </w:rPr>
        <w:t>2</w:t>
      </w:r>
      <w:r w:rsidR="00A55A78">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Pr="00595970" w:rsidRDefault="00417371"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b/>
          <w:bCs/>
          <w:sz w:val="24"/>
          <w:szCs w:val="24"/>
          <w:lang w:val="en-US" w:eastAsia="ru-RU"/>
        </w:rPr>
        <w:t>F</w:t>
      </w:r>
      <w:r w:rsidR="00595970" w:rsidRPr="00595970">
        <w:rPr>
          <w:rFonts w:ascii="Tahoma" w:eastAsia="Times New Roman" w:hAnsi="Tahoma" w:cs="Tahoma"/>
          <w:b/>
          <w:bCs/>
          <w:sz w:val="24"/>
          <w:szCs w:val="24"/>
          <w:lang w:val="en-US" w:eastAsia="ru-RU"/>
        </w:rPr>
        <w:t xml:space="preserve">inancial position </w:t>
      </w:r>
    </w:p>
    <w:p w:rsidR="005B5D91" w:rsidRDefault="005B5D91" w:rsidP="00595970">
      <w:pPr>
        <w:spacing w:after="0" w:line="240" w:lineRule="auto"/>
        <w:jc w:val="both"/>
        <w:rPr>
          <w:rFonts w:ascii="Tahoma" w:eastAsia="Times New Roman" w:hAnsi="Tahoma" w:cs="Tahoma"/>
          <w:sz w:val="24"/>
          <w:szCs w:val="24"/>
          <w:lang w:val="en-US" w:eastAsia="ru-RU"/>
        </w:rPr>
      </w:pPr>
    </w:p>
    <w:p w:rsidR="00D0771E"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As </w:t>
      </w:r>
      <w:r w:rsidR="00BB2282">
        <w:rPr>
          <w:rFonts w:ascii="Tahoma" w:eastAsia="Times New Roman" w:hAnsi="Tahoma" w:cs="Tahoma"/>
          <w:sz w:val="24"/>
          <w:szCs w:val="24"/>
          <w:lang w:val="en-US" w:eastAsia="ru-RU"/>
        </w:rPr>
        <w:t>of</w:t>
      </w:r>
      <w:r w:rsidRPr="00595970">
        <w:rPr>
          <w:rFonts w:ascii="Tahoma" w:eastAsia="Times New Roman" w:hAnsi="Tahoma" w:cs="Tahoma"/>
          <w:sz w:val="24"/>
          <w:szCs w:val="24"/>
          <w:lang w:val="en-US" w:eastAsia="ru-RU"/>
        </w:rPr>
        <w:t xml:space="preserve"> </w:t>
      </w:r>
      <w:r w:rsidR="00BC2C91">
        <w:rPr>
          <w:rFonts w:ascii="Tahoma" w:eastAsia="Times New Roman" w:hAnsi="Tahoma" w:cs="Tahoma"/>
          <w:sz w:val="24"/>
          <w:szCs w:val="24"/>
          <w:lang w:val="en-US" w:eastAsia="ru-RU"/>
        </w:rPr>
        <w:t>3</w:t>
      </w:r>
      <w:r w:rsidR="00417371">
        <w:rPr>
          <w:rFonts w:ascii="Tahoma" w:eastAsia="Times New Roman" w:hAnsi="Tahoma" w:cs="Tahoma"/>
          <w:sz w:val="24"/>
          <w:szCs w:val="24"/>
          <w:lang w:val="en-US" w:eastAsia="ru-RU"/>
        </w:rPr>
        <w:t>0</w:t>
      </w:r>
      <w:r w:rsidR="00BC2C91">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September</w:t>
      </w:r>
      <w:r w:rsidR="00BB2282">
        <w:rPr>
          <w:rFonts w:ascii="Tahoma" w:eastAsia="Times New Roman" w:hAnsi="Tahoma" w:cs="Tahoma"/>
          <w:sz w:val="24"/>
          <w:szCs w:val="24"/>
          <w:lang w:val="en-US" w:eastAsia="ru-RU"/>
        </w:rPr>
        <w:t xml:space="preserve"> 201</w:t>
      </w:r>
      <w:r w:rsidR="00172C57">
        <w:rPr>
          <w:rFonts w:ascii="Tahoma" w:eastAsia="Times New Roman" w:hAnsi="Tahoma" w:cs="Tahoma"/>
          <w:sz w:val="24"/>
          <w:szCs w:val="24"/>
          <w:lang w:val="en-US" w:eastAsia="ru-RU"/>
        </w:rPr>
        <w:t>3</w:t>
      </w:r>
      <w:r w:rsidR="00BB2282">
        <w:rPr>
          <w:rFonts w:ascii="Tahoma" w:eastAsia="Times New Roman" w:hAnsi="Tahoma" w:cs="Tahoma"/>
          <w:sz w:val="24"/>
          <w:szCs w:val="24"/>
          <w:lang w:val="en-US" w:eastAsia="ru-RU"/>
        </w:rPr>
        <w:t xml:space="preserve">, </w:t>
      </w:r>
      <w:r w:rsidRPr="00595970">
        <w:rPr>
          <w:rFonts w:ascii="Tahoma" w:eastAsia="Times New Roman" w:hAnsi="Tahoma" w:cs="Tahoma"/>
          <w:sz w:val="24"/>
          <w:szCs w:val="24"/>
          <w:lang w:val="en-US" w:eastAsia="ru-RU"/>
        </w:rPr>
        <w:t xml:space="preserve">the Group's </w:t>
      </w:r>
      <w:r w:rsidR="00D0771E">
        <w:rPr>
          <w:rFonts w:ascii="Tahoma" w:eastAsia="Times New Roman" w:hAnsi="Tahoma" w:cs="Tahoma"/>
          <w:sz w:val="24"/>
          <w:szCs w:val="24"/>
          <w:lang w:val="en-US" w:eastAsia="ru-RU"/>
        </w:rPr>
        <w:t xml:space="preserve">total assets </w:t>
      </w:r>
      <w:r w:rsidR="00983909">
        <w:rPr>
          <w:rFonts w:ascii="Tahoma" w:eastAsia="Times New Roman" w:hAnsi="Tahoma" w:cs="Tahoma"/>
          <w:sz w:val="24"/>
          <w:szCs w:val="24"/>
          <w:lang w:val="en-US" w:eastAsia="ru-RU"/>
        </w:rPr>
        <w:t>increased</w:t>
      </w:r>
      <w:r w:rsidR="00D0771E">
        <w:rPr>
          <w:rFonts w:ascii="Tahoma" w:eastAsia="Times New Roman" w:hAnsi="Tahoma" w:cs="Tahoma"/>
          <w:sz w:val="24"/>
          <w:szCs w:val="24"/>
          <w:lang w:val="en-US" w:eastAsia="ru-RU"/>
        </w:rPr>
        <w:t xml:space="preserve"> by </w:t>
      </w:r>
      <w:r w:rsidR="00EB2A47">
        <w:rPr>
          <w:rFonts w:ascii="Tahoma" w:eastAsia="Times New Roman" w:hAnsi="Tahoma" w:cs="Tahoma"/>
          <w:sz w:val="24"/>
          <w:szCs w:val="24"/>
          <w:lang w:val="en-US" w:eastAsia="ru-RU"/>
        </w:rPr>
        <w:t>7</w:t>
      </w:r>
      <w:r w:rsidR="00D0771E">
        <w:rPr>
          <w:rFonts w:ascii="Tahoma" w:eastAsia="Times New Roman" w:hAnsi="Tahoma" w:cs="Tahoma"/>
          <w:sz w:val="24"/>
          <w:szCs w:val="24"/>
          <w:lang w:val="en-US" w:eastAsia="ru-RU"/>
        </w:rPr>
        <w:t>% to 1</w:t>
      </w:r>
      <w:r w:rsidR="00983909">
        <w:rPr>
          <w:rFonts w:ascii="Tahoma" w:eastAsia="Times New Roman" w:hAnsi="Tahoma" w:cs="Tahoma"/>
          <w:sz w:val="24"/>
          <w:szCs w:val="24"/>
          <w:lang w:val="en-US" w:eastAsia="ru-RU"/>
        </w:rPr>
        <w:t>3</w:t>
      </w:r>
      <w:r w:rsidR="00EB2A47">
        <w:rPr>
          <w:rFonts w:ascii="Tahoma" w:eastAsia="Times New Roman" w:hAnsi="Tahoma" w:cs="Tahoma"/>
          <w:sz w:val="24"/>
          <w:szCs w:val="24"/>
          <w:lang w:val="en-US" w:eastAsia="ru-RU"/>
        </w:rPr>
        <w:t>9</w:t>
      </w:r>
      <w:r w:rsidR="00BE6ECB">
        <w:rPr>
          <w:rFonts w:ascii="Tahoma" w:eastAsia="Times New Roman" w:hAnsi="Tahoma" w:cs="Tahoma"/>
          <w:sz w:val="24"/>
          <w:szCs w:val="24"/>
          <w:lang w:val="en-US" w:eastAsia="ru-RU"/>
        </w:rPr>
        <w:t>,</w:t>
      </w:r>
      <w:r w:rsidR="00EB2A47">
        <w:rPr>
          <w:rFonts w:ascii="Tahoma" w:eastAsia="Times New Roman" w:hAnsi="Tahoma" w:cs="Tahoma"/>
          <w:sz w:val="24"/>
          <w:szCs w:val="24"/>
          <w:lang w:val="en-US" w:eastAsia="ru-RU"/>
        </w:rPr>
        <w:t>828</w:t>
      </w:r>
      <w:r w:rsidR="00D0771E">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D0771E">
        <w:rPr>
          <w:rFonts w:ascii="Tahoma" w:eastAsia="Times New Roman" w:hAnsi="Tahoma" w:cs="Tahoma"/>
          <w:sz w:val="24"/>
          <w:szCs w:val="24"/>
          <w:lang w:val="en-US" w:eastAsia="ru-RU"/>
        </w:rPr>
        <w:t xml:space="preserve"> </w:t>
      </w:r>
      <w:r w:rsidR="001E36C5">
        <w:rPr>
          <w:rFonts w:ascii="Tahoma" w:eastAsia="Times New Roman" w:hAnsi="Tahoma" w:cs="Tahoma"/>
          <w:sz w:val="24"/>
          <w:szCs w:val="24"/>
          <w:lang w:val="en-US" w:eastAsia="ru-RU"/>
        </w:rPr>
        <w:t>RUB</w:t>
      </w:r>
      <w:r w:rsidR="00D0771E">
        <w:rPr>
          <w:rFonts w:ascii="Tahoma" w:eastAsia="Times New Roman" w:hAnsi="Tahoma" w:cs="Tahoma"/>
          <w:sz w:val="24"/>
          <w:szCs w:val="24"/>
          <w:lang w:val="en-US" w:eastAsia="ru-RU"/>
        </w:rPr>
        <w:t xml:space="preserve"> compared to </w:t>
      </w:r>
      <w:r w:rsidR="008061D4">
        <w:rPr>
          <w:rFonts w:ascii="Tahoma" w:eastAsia="Times New Roman" w:hAnsi="Tahoma" w:cs="Tahoma"/>
          <w:sz w:val="24"/>
          <w:szCs w:val="24"/>
          <w:lang w:val="en-US" w:eastAsia="ru-RU"/>
        </w:rPr>
        <w:t>1</w:t>
      </w:r>
      <w:r w:rsidR="00B57A96">
        <w:rPr>
          <w:rFonts w:ascii="Tahoma" w:eastAsia="Times New Roman" w:hAnsi="Tahoma" w:cs="Tahoma"/>
          <w:sz w:val="24"/>
          <w:szCs w:val="24"/>
          <w:lang w:val="en-US" w:eastAsia="ru-RU"/>
        </w:rPr>
        <w:t>30</w:t>
      </w:r>
      <w:r w:rsidR="008061D4">
        <w:rPr>
          <w:rFonts w:ascii="Tahoma" w:eastAsia="Times New Roman" w:hAnsi="Tahoma" w:cs="Tahoma"/>
          <w:sz w:val="24"/>
          <w:szCs w:val="24"/>
          <w:lang w:val="en-US" w:eastAsia="ru-RU"/>
        </w:rPr>
        <w:t>,</w:t>
      </w:r>
      <w:r w:rsidR="00417371">
        <w:rPr>
          <w:rFonts w:ascii="Tahoma" w:eastAsia="Times New Roman" w:hAnsi="Tahoma" w:cs="Tahoma"/>
          <w:sz w:val="24"/>
          <w:szCs w:val="24"/>
          <w:lang w:val="en-US" w:eastAsia="ru-RU"/>
        </w:rPr>
        <w:t>524</w:t>
      </w:r>
      <w:r w:rsidR="00D0771E">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D0771E">
        <w:rPr>
          <w:rFonts w:ascii="Tahoma" w:eastAsia="Times New Roman" w:hAnsi="Tahoma" w:cs="Tahoma"/>
          <w:sz w:val="24"/>
          <w:szCs w:val="24"/>
          <w:lang w:val="en-US" w:eastAsia="ru-RU"/>
        </w:rPr>
        <w:t xml:space="preserve"> </w:t>
      </w:r>
      <w:r w:rsidR="001E36C5">
        <w:rPr>
          <w:rFonts w:ascii="Tahoma" w:eastAsia="Times New Roman" w:hAnsi="Tahoma" w:cs="Tahoma"/>
          <w:sz w:val="24"/>
          <w:szCs w:val="24"/>
          <w:lang w:val="en-US" w:eastAsia="ru-RU"/>
        </w:rPr>
        <w:t>RUB</w:t>
      </w:r>
      <w:r w:rsidR="00D0771E">
        <w:rPr>
          <w:rFonts w:ascii="Tahoma" w:eastAsia="Times New Roman" w:hAnsi="Tahoma" w:cs="Tahoma"/>
          <w:sz w:val="24"/>
          <w:szCs w:val="24"/>
          <w:lang w:val="en-US" w:eastAsia="ru-RU"/>
        </w:rPr>
        <w:t xml:space="preserve"> </w:t>
      </w:r>
      <w:r w:rsidR="00B57A96">
        <w:rPr>
          <w:rFonts w:ascii="Tahoma" w:eastAsia="Times New Roman" w:hAnsi="Tahoma" w:cs="Tahoma"/>
          <w:sz w:val="24"/>
          <w:szCs w:val="24"/>
          <w:lang w:val="en-US" w:eastAsia="ru-RU"/>
        </w:rPr>
        <w:t>on 31 December 201</w:t>
      </w:r>
      <w:r w:rsidR="00172C57">
        <w:rPr>
          <w:rFonts w:ascii="Tahoma" w:eastAsia="Times New Roman" w:hAnsi="Tahoma" w:cs="Tahoma"/>
          <w:sz w:val="24"/>
          <w:szCs w:val="24"/>
          <w:lang w:val="en-US" w:eastAsia="ru-RU"/>
        </w:rPr>
        <w:t>2</w:t>
      </w:r>
      <w:r w:rsidR="00D0771E">
        <w:rPr>
          <w:rFonts w:ascii="Tahoma" w:eastAsia="Times New Roman" w:hAnsi="Tahoma" w:cs="Tahoma"/>
          <w:sz w:val="24"/>
          <w:szCs w:val="24"/>
          <w:lang w:val="en-US" w:eastAsia="ru-RU"/>
        </w:rPr>
        <w:t>.</w:t>
      </w:r>
      <w:r w:rsidR="004F6B3E">
        <w:rPr>
          <w:rFonts w:ascii="Tahoma" w:eastAsia="Times New Roman" w:hAnsi="Tahoma" w:cs="Tahoma"/>
          <w:sz w:val="24"/>
          <w:szCs w:val="24"/>
          <w:lang w:val="en-US" w:eastAsia="ru-RU"/>
        </w:rPr>
        <w:t xml:space="preserve"> The </w:t>
      </w:r>
      <w:r w:rsidR="00930C87">
        <w:rPr>
          <w:rFonts w:ascii="Tahoma" w:eastAsia="Times New Roman" w:hAnsi="Tahoma" w:cs="Tahoma"/>
          <w:sz w:val="24"/>
          <w:szCs w:val="24"/>
          <w:lang w:val="en-US" w:eastAsia="ru-RU"/>
        </w:rPr>
        <w:t xml:space="preserve">increase of property, plant and equipment by </w:t>
      </w:r>
      <w:r w:rsidR="00EB2A47">
        <w:rPr>
          <w:rFonts w:ascii="Tahoma" w:eastAsia="Times New Roman" w:hAnsi="Tahoma" w:cs="Tahoma"/>
          <w:sz w:val="24"/>
          <w:szCs w:val="24"/>
          <w:lang w:val="en-US" w:eastAsia="ru-RU"/>
        </w:rPr>
        <w:t>9</w:t>
      </w:r>
      <w:r w:rsidR="00930C87">
        <w:rPr>
          <w:rFonts w:ascii="Tahoma" w:eastAsia="Times New Roman" w:hAnsi="Tahoma" w:cs="Tahoma"/>
          <w:sz w:val="24"/>
          <w:szCs w:val="24"/>
          <w:lang w:val="en-US" w:eastAsia="ru-RU"/>
        </w:rPr>
        <w:t xml:space="preserve">% by </w:t>
      </w:r>
      <w:r w:rsidR="00EB2A47">
        <w:rPr>
          <w:rFonts w:ascii="Tahoma" w:eastAsia="Times New Roman" w:hAnsi="Tahoma" w:cs="Tahoma"/>
          <w:sz w:val="24"/>
          <w:szCs w:val="24"/>
          <w:lang w:val="en-US" w:eastAsia="ru-RU"/>
        </w:rPr>
        <w:t>4</w:t>
      </w:r>
      <w:r w:rsidR="00930C87">
        <w:rPr>
          <w:rFonts w:ascii="Tahoma" w:eastAsia="Times New Roman" w:hAnsi="Tahoma" w:cs="Tahoma"/>
          <w:sz w:val="24"/>
          <w:szCs w:val="24"/>
          <w:lang w:val="en-US" w:eastAsia="ru-RU"/>
        </w:rPr>
        <w:t>,</w:t>
      </w:r>
      <w:r w:rsidR="00EB2A47">
        <w:rPr>
          <w:rFonts w:ascii="Tahoma" w:eastAsia="Times New Roman" w:hAnsi="Tahoma" w:cs="Tahoma"/>
          <w:sz w:val="24"/>
          <w:szCs w:val="24"/>
          <w:lang w:val="en-US" w:eastAsia="ru-RU"/>
        </w:rPr>
        <w:t>774</w:t>
      </w:r>
      <w:r w:rsidR="00930C87">
        <w:rPr>
          <w:rFonts w:ascii="Tahoma" w:eastAsia="Times New Roman" w:hAnsi="Tahoma" w:cs="Tahoma"/>
          <w:sz w:val="24"/>
          <w:szCs w:val="24"/>
          <w:lang w:val="en-US" w:eastAsia="ru-RU"/>
        </w:rPr>
        <w:t xml:space="preserve"> </w:t>
      </w:r>
      <w:proofErr w:type="spellStart"/>
      <w:r w:rsidR="00930C87">
        <w:rPr>
          <w:rFonts w:ascii="Tahoma" w:eastAsia="Times New Roman" w:hAnsi="Tahoma" w:cs="Tahoma"/>
          <w:sz w:val="24"/>
          <w:szCs w:val="24"/>
          <w:lang w:val="en-US" w:eastAsia="ru-RU"/>
        </w:rPr>
        <w:t>mln</w:t>
      </w:r>
      <w:proofErr w:type="spellEnd"/>
      <w:r w:rsidR="00930C87">
        <w:rPr>
          <w:rFonts w:ascii="Tahoma" w:eastAsia="Times New Roman" w:hAnsi="Tahoma" w:cs="Tahoma"/>
          <w:sz w:val="24"/>
          <w:szCs w:val="24"/>
          <w:lang w:val="en-US" w:eastAsia="ru-RU"/>
        </w:rPr>
        <w:t xml:space="preserve"> RUB</w:t>
      </w:r>
      <w:r w:rsidR="00EB2A47">
        <w:rPr>
          <w:rFonts w:ascii="Tahoma" w:eastAsia="Times New Roman" w:hAnsi="Tahoma" w:cs="Tahoma"/>
          <w:sz w:val="24"/>
          <w:szCs w:val="24"/>
          <w:lang w:val="en-US" w:eastAsia="ru-RU"/>
        </w:rPr>
        <w:t xml:space="preserve"> as well as growth in i</w:t>
      </w:r>
      <w:r w:rsidR="00EB2A47" w:rsidRPr="00EB2A47">
        <w:rPr>
          <w:rFonts w:ascii="Tahoma" w:eastAsia="Times New Roman" w:hAnsi="Tahoma" w:cs="Tahoma"/>
          <w:sz w:val="24"/>
          <w:szCs w:val="24"/>
          <w:lang w:val="en-US" w:eastAsia="ru-RU"/>
        </w:rPr>
        <w:t>nventories</w:t>
      </w:r>
      <w:r w:rsidR="004F6B3E">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 xml:space="preserve">by 18% or by 3,188 </w:t>
      </w:r>
      <w:proofErr w:type="spellStart"/>
      <w:r w:rsidR="00EB2A47">
        <w:rPr>
          <w:rFonts w:ascii="Tahoma" w:eastAsia="Times New Roman" w:hAnsi="Tahoma" w:cs="Tahoma"/>
          <w:sz w:val="24"/>
          <w:szCs w:val="24"/>
          <w:lang w:val="en-US" w:eastAsia="ru-RU"/>
        </w:rPr>
        <w:t>mln</w:t>
      </w:r>
      <w:proofErr w:type="spellEnd"/>
      <w:r w:rsidR="00EB2A47">
        <w:rPr>
          <w:rFonts w:ascii="Tahoma" w:eastAsia="Times New Roman" w:hAnsi="Tahoma" w:cs="Tahoma"/>
          <w:sz w:val="24"/>
          <w:szCs w:val="24"/>
          <w:lang w:val="en-US" w:eastAsia="ru-RU"/>
        </w:rPr>
        <w:t xml:space="preserve"> RUB due to preparation to the autumn-winter season </w:t>
      </w:r>
      <w:r w:rsidR="004F6B3E">
        <w:rPr>
          <w:rFonts w:ascii="Tahoma" w:eastAsia="Times New Roman" w:hAnsi="Tahoma" w:cs="Tahoma"/>
          <w:sz w:val="24"/>
          <w:szCs w:val="24"/>
          <w:lang w:val="en-US" w:eastAsia="ru-RU"/>
        </w:rPr>
        <w:t>were the</w:t>
      </w:r>
      <w:r w:rsidR="0050420C">
        <w:rPr>
          <w:rFonts w:ascii="Tahoma" w:eastAsia="Times New Roman" w:hAnsi="Tahoma" w:cs="Tahoma"/>
          <w:sz w:val="24"/>
          <w:szCs w:val="24"/>
          <w:lang w:val="en-US" w:eastAsia="ru-RU"/>
        </w:rPr>
        <w:t xml:space="preserve"> main</w:t>
      </w:r>
      <w:r w:rsidR="004F6B3E">
        <w:rPr>
          <w:rFonts w:ascii="Tahoma" w:eastAsia="Times New Roman" w:hAnsi="Tahoma" w:cs="Tahoma"/>
          <w:sz w:val="24"/>
          <w:szCs w:val="24"/>
          <w:lang w:val="en-US" w:eastAsia="ru-RU"/>
        </w:rPr>
        <w:t xml:space="preserve"> reason</w:t>
      </w:r>
      <w:r w:rsidR="0050420C">
        <w:rPr>
          <w:rFonts w:ascii="Tahoma" w:eastAsia="Times New Roman" w:hAnsi="Tahoma" w:cs="Tahoma"/>
          <w:sz w:val="24"/>
          <w:szCs w:val="24"/>
          <w:lang w:val="en-US" w:eastAsia="ru-RU"/>
        </w:rPr>
        <w:t>s</w:t>
      </w:r>
      <w:r w:rsidR="004F6B3E">
        <w:rPr>
          <w:rFonts w:ascii="Tahoma" w:eastAsia="Times New Roman" w:hAnsi="Tahoma" w:cs="Tahoma"/>
          <w:sz w:val="24"/>
          <w:szCs w:val="24"/>
          <w:lang w:val="en-US" w:eastAsia="ru-RU"/>
        </w:rPr>
        <w:t xml:space="preserve"> of the total asset growth.</w:t>
      </w:r>
    </w:p>
    <w:p w:rsidR="00D0771E" w:rsidRDefault="00D0771E" w:rsidP="00595970">
      <w:pPr>
        <w:spacing w:after="0" w:line="240" w:lineRule="auto"/>
        <w:jc w:val="both"/>
        <w:rPr>
          <w:rFonts w:ascii="Tahoma" w:eastAsia="Times New Roman" w:hAnsi="Tahoma" w:cs="Tahoma"/>
          <w:sz w:val="24"/>
          <w:szCs w:val="24"/>
          <w:lang w:val="en-US" w:eastAsia="ru-RU"/>
        </w:rPr>
      </w:pPr>
    </w:p>
    <w:p w:rsidR="00595970" w:rsidRPr="006B2F21"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Group's equity </w:t>
      </w:r>
      <w:r w:rsidR="00ED6E6B">
        <w:rPr>
          <w:rFonts w:ascii="Tahoma" w:eastAsia="Times New Roman" w:hAnsi="Tahoma" w:cs="Tahoma"/>
          <w:sz w:val="24"/>
          <w:szCs w:val="24"/>
          <w:lang w:val="en-US" w:eastAsia="ru-RU"/>
        </w:rPr>
        <w:t xml:space="preserve">as </w:t>
      </w:r>
      <w:r w:rsidR="00EF07C6">
        <w:rPr>
          <w:rFonts w:ascii="Tahoma" w:eastAsia="Times New Roman" w:hAnsi="Tahoma" w:cs="Tahoma"/>
          <w:sz w:val="24"/>
          <w:szCs w:val="24"/>
          <w:lang w:val="en-US" w:eastAsia="ru-RU"/>
        </w:rPr>
        <w:t>of</w:t>
      </w:r>
      <w:r w:rsidR="00ED6E6B">
        <w:rPr>
          <w:rFonts w:ascii="Tahoma" w:eastAsia="Times New Roman" w:hAnsi="Tahoma" w:cs="Tahoma"/>
          <w:sz w:val="24"/>
          <w:szCs w:val="24"/>
          <w:lang w:val="en-US" w:eastAsia="ru-RU"/>
        </w:rPr>
        <w:t xml:space="preserve"> </w:t>
      </w:r>
      <w:r w:rsidR="00BC2C91">
        <w:rPr>
          <w:rFonts w:ascii="Tahoma" w:eastAsia="Times New Roman" w:hAnsi="Tahoma" w:cs="Tahoma"/>
          <w:sz w:val="24"/>
          <w:szCs w:val="24"/>
          <w:lang w:val="en-US" w:eastAsia="ru-RU"/>
        </w:rPr>
        <w:t>3</w:t>
      </w:r>
      <w:r w:rsidR="00930C87">
        <w:rPr>
          <w:rFonts w:ascii="Tahoma" w:eastAsia="Times New Roman" w:hAnsi="Tahoma" w:cs="Tahoma"/>
          <w:sz w:val="24"/>
          <w:szCs w:val="24"/>
          <w:lang w:val="en-US" w:eastAsia="ru-RU"/>
        </w:rPr>
        <w:t>0</w:t>
      </w:r>
      <w:r w:rsidR="00BC2C91">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September</w:t>
      </w:r>
      <w:r w:rsidR="00ED6E6B">
        <w:rPr>
          <w:rFonts w:ascii="Tahoma" w:eastAsia="Times New Roman" w:hAnsi="Tahoma" w:cs="Tahoma"/>
          <w:sz w:val="24"/>
          <w:szCs w:val="24"/>
          <w:lang w:val="en-US" w:eastAsia="ru-RU"/>
        </w:rPr>
        <w:t xml:space="preserve"> 201</w:t>
      </w:r>
      <w:r w:rsidR="004F6B3E">
        <w:rPr>
          <w:rFonts w:ascii="Tahoma" w:eastAsia="Times New Roman" w:hAnsi="Tahoma" w:cs="Tahoma"/>
          <w:sz w:val="24"/>
          <w:szCs w:val="24"/>
          <w:lang w:val="en-US" w:eastAsia="ru-RU"/>
        </w:rPr>
        <w:t>3</w:t>
      </w:r>
      <w:r w:rsidR="00ED6E6B">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de</w:t>
      </w:r>
      <w:r w:rsidR="00EF07C6">
        <w:rPr>
          <w:rFonts w:ascii="Tahoma" w:eastAsia="Times New Roman" w:hAnsi="Tahoma" w:cs="Tahoma"/>
          <w:sz w:val="24"/>
          <w:szCs w:val="24"/>
          <w:lang w:val="en-US" w:eastAsia="ru-RU"/>
        </w:rPr>
        <w:t>creased</w:t>
      </w:r>
      <w:r w:rsidR="00981B24">
        <w:rPr>
          <w:rFonts w:ascii="Tahoma" w:eastAsia="Times New Roman" w:hAnsi="Tahoma" w:cs="Tahoma"/>
          <w:sz w:val="24"/>
          <w:szCs w:val="24"/>
          <w:lang w:val="en-US" w:eastAsia="ru-RU"/>
        </w:rPr>
        <w:t xml:space="preserve"> by </w:t>
      </w:r>
      <w:r w:rsidR="00EB2A47">
        <w:rPr>
          <w:rFonts w:ascii="Tahoma" w:eastAsia="Times New Roman" w:hAnsi="Tahoma" w:cs="Tahoma"/>
          <w:sz w:val="24"/>
          <w:szCs w:val="24"/>
          <w:lang w:val="en-US" w:eastAsia="ru-RU"/>
        </w:rPr>
        <w:t>4</w:t>
      </w:r>
      <w:r w:rsidR="00981B24">
        <w:rPr>
          <w:rFonts w:ascii="Tahoma" w:eastAsia="Times New Roman" w:hAnsi="Tahoma" w:cs="Tahoma"/>
          <w:sz w:val="24"/>
          <w:szCs w:val="24"/>
          <w:lang w:val="en-US" w:eastAsia="ru-RU"/>
        </w:rPr>
        <w:t xml:space="preserve">% </w:t>
      </w:r>
      <w:r w:rsidR="00A55A78">
        <w:rPr>
          <w:rFonts w:ascii="Tahoma" w:eastAsia="Times New Roman" w:hAnsi="Tahoma" w:cs="Tahoma"/>
          <w:sz w:val="24"/>
          <w:szCs w:val="24"/>
          <w:lang w:val="en-US" w:eastAsia="ru-RU"/>
        </w:rPr>
        <w:t>to</w:t>
      </w:r>
      <w:r w:rsidRPr="00595970">
        <w:rPr>
          <w:rFonts w:ascii="Tahoma" w:eastAsia="Times New Roman" w:hAnsi="Tahoma" w:cs="Tahoma"/>
          <w:sz w:val="24"/>
          <w:szCs w:val="24"/>
          <w:lang w:val="en-US" w:eastAsia="ru-RU"/>
        </w:rPr>
        <w:t xml:space="preserve"> </w:t>
      </w:r>
      <w:r w:rsidR="004F6B3E">
        <w:rPr>
          <w:rFonts w:ascii="Tahoma" w:eastAsia="Times New Roman" w:hAnsi="Tahoma" w:cs="Tahoma"/>
          <w:sz w:val="24"/>
          <w:szCs w:val="24"/>
          <w:lang w:val="en-US" w:eastAsia="ru-RU"/>
        </w:rPr>
        <w:t>2</w:t>
      </w:r>
      <w:r w:rsidR="00EB2A47">
        <w:rPr>
          <w:rFonts w:ascii="Tahoma" w:eastAsia="Times New Roman" w:hAnsi="Tahoma" w:cs="Tahoma"/>
          <w:sz w:val="24"/>
          <w:szCs w:val="24"/>
          <w:lang w:val="en-US" w:eastAsia="ru-RU"/>
        </w:rPr>
        <w:t>3</w:t>
      </w:r>
      <w:r w:rsidR="00EF07C6">
        <w:rPr>
          <w:rFonts w:ascii="Tahoma" w:eastAsia="Times New Roman" w:hAnsi="Tahoma" w:cs="Tahoma"/>
          <w:sz w:val="24"/>
          <w:szCs w:val="24"/>
          <w:lang w:val="en-US" w:eastAsia="ru-RU"/>
        </w:rPr>
        <w:t>,</w:t>
      </w:r>
      <w:r w:rsidR="00930C87">
        <w:rPr>
          <w:rFonts w:ascii="Tahoma" w:eastAsia="Times New Roman" w:hAnsi="Tahoma" w:cs="Tahoma"/>
          <w:sz w:val="24"/>
          <w:szCs w:val="24"/>
          <w:lang w:val="en-US" w:eastAsia="ru-RU"/>
        </w:rPr>
        <w:t>2</w:t>
      </w:r>
      <w:r w:rsidR="00EB2A47">
        <w:rPr>
          <w:rFonts w:ascii="Tahoma" w:eastAsia="Times New Roman" w:hAnsi="Tahoma" w:cs="Tahoma"/>
          <w:sz w:val="24"/>
          <w:szCs w:val="24"/>
          <w:lang w:val="en-US" w:eastAsia="ru-RU"/>
        </w:rPr>
        <w:t>20</w:t>
      </w:r>
      <w:r w:rsidRPr="00595970">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Pr="00595970">
        <w:rPr>
          <w:rFonts w:ascii="Tahoma" w:eastAsia="Times New Roman" w:hAnsi="Tahoma" w:cs="Tahoma"/>
          <w:sz w:val="24"/>
          <w:szCs w:val="24"/>
          <w:lang w:val="en-US" w:eastAsia="ru-RU"/>
        </w:rPr>
        <w:t xml:space="preserve"> </w:t>
      </w:r>
      <w:r w:rsidR="001E36C5">
        <w:rPr>
          <w:rFonts w:ascii="Tahoma" w:eastAsia="Times New Roman" w:hAnsi="Tahoma" w:cs="Tahoma"/>
          <w:sz w:val="24"/>
          <w:szCs w:val="24"/>
          <w:lang w:val="en-US" w:eastAsia="ru-RU"/>
        </w:rPr>
        <w:t>RUB</w:t>
      </w:r>
      <w:r w:rsidR="00981B24">
        <w:rPr>
          <w:rFonts w:ascii="Tahoma" w:eastAsia="Times New Roman" w:hAnsi="Tahoma" w:cs="Tahoma"/>
          <w:sz w:val="24"/>
          <w:szCs w:val="24"/>
          <w:lang w:val="en-US" w:eastAsia="ru-RU"/>
        </w:rPr>
        <w:t xml:space="preserve"> compared to 2</w:t>
      </w:r>
      <w:r w:rsidR="00930C87">
        <w:rPr>
          <w:rFonts w:ascii="Tahoma" w:eastAsia="Times New Roman" w:hAnsi="Tahoma" w:cs="Tahoma"/>
          <w:sz w:val="24"/>
          <w:szCs w:val="24"/>
          <w:lang w:val="en-US" w:eastAsia="ru-RU"/>
        </w:rPr>
        <w:t>4</w:t>
      </w:r>
      <w:r w:rsidRPr="00595970">
        <w:rPr>
          <w:rFonts w:ascii="Tahoma" w:eastAsia="Times New Roman" w:hAnsi="Tahoma" w:cs="Tahoma"/>
          <w:sz w:val="24"/>
          <w:szCs w:val="24"/>
          <w:lang w:val="en-US" w:eastAsia="ru-RU"/>
        </w:rPr>
        <w:t>,</w:t>
      </w:r>
      <w:r w:rsidR="00930C87">
        <w:rPr>
          <w:rFonts w:ascii="Tahoma" w:eastAsia="Times New Roman" w:hAnsi="Tahoma" w:cs="Tahoma"/>
          <w:sz w:val="24"/>
          <w:szCs w:val="24"/>
          <w:lang w:val="en-US" w:eastAsia="ru-RU"/>
        </w:rPr>
        <w:t>084</w:t>
      </w:r>
      <w:r w:rsidRPr="00595970">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Pr="00595970">
        <w:rPr>
          <w:rFonts w:ascii="Tahoma" w:eastAsia="Times New Roman" w:hAnsi="Tahoma" w:cs="Tahoma"/>
          <w:sz w:val="24"/>
          <w:szCs w:val="24"/>
          <w:lang w:val="en-US" w:eastAsia="ru-RU"/>
        </w:rPr>
        <w:t xml:space="preserve"> </w:t>
      </w:r>
      <w:r w:rsidR="001E36C5">
        <w:rPr>
          <w:rFonts w:ascii="Tahoma" w:eastAsia="Times New Roman" w:hAnsi="Tahoma" w:cs="Tahoma"/>
          <w:sz w:val="24"/>
          <w:szCs w:val="24"/>
          <w:lang w:val="en-US" w:eastAsia="ru-RU"/>
        </w:rPr>
        <w:t>RUB</w:t>
      </w:r>
      <w:r w:rsidR="00981B24">
        <w:rPr>
          <w:rFonts w:ascii="Tahoma" w:eastAsia="Times New Roman" w:hAnsi="Tahoma" w:cs="Tahoma"/>
          <w:sz w:val="24"/>
          <w:szCs w:val="24"/>
          <w:lang w:val="en-US" w:eastAsia="ru-RU"/>
        </w:rPr>
        <w:t xml:space="preserve"> </w:t>
      </w:r>
      <w:r w:rsidRPr="00595970">
        <w:rPr>
          <w:rFonts w:ascii="Tahoma" w:eastAsia="Times New Roman" w:hAnsi="Tahoma" w:cs="Tahoma"/>
          <w:sz w:val="24"/>
          <w:szCs w:val="24"/>
          <w:lang w:val="en-US" w:eastAsia="ru-RU"/>
        </w:rPr>
        <w:t xml:space="preserve">as </w:t>
      </w:r>
      <w:r w:rsidR="00EF07C6">
        <w:rPr>
          <w:rFonts w:ascii="Tahoma" w:eastAsia="Times New Roman" w:hAnsi="Tahoma" w:cs="Tahoma"/>
          <w:sz w:val="24"/>
          <w:szCs w:val="24"/>
          <w:lang w:val="en-US" w:eastAsia="ru-RU"/>
        </w:rPr>
        <w:t>of</w:t>
      </w:r>
      <w:r w:rsidRPr="00595970">
        <w:rPr>
          <w:rFonts w:ascii="Tahoma" w:eastAsia="Times New Roman" w:hAnsi="Tahoma" w:cs="Tahoma"/>
          <w:sz w:val="24"/>
          <w:szCs w:val="24"/>
          <w:lang w:val="en-US" w:eastAsia="ru-RU"/>
        </w:rPr>
        <w:t xml:space="preserve"> 31 </w:t>
      </w:r>
      <w:r w:rsidR="00ED6E6B">
        <w:rPr>
          <w:rFonts w:ascii="Tahoma" w:eastAsia="Times New Roman" w:hAnsi="Tahoma" w:cs="Tahoma"/>
          <w:sz w:val="24"/>
          <w:szCs w:val="24"/>
          <w:lang w:val="en-US" w:eastAsia="ru-RU"/>
        </w:rPr>
        <w:t>December</w:t>
      </w:r>
      <w:r w:rsidRPr="00595970">
        <w:rPr>
          <w:rFonts w:ascii="Tahoma" w:eastAsia="Times New Roman" w:hAnsi="Tahoma" w:cs="Tahoma"/>
          <w:sz w:val="24"/>
          <w:szCs w:val="24"/>
          <w:lang w:val="en-US" w:eastAsia="ru-RU"/>
        </w:rPr>
        <w:t xml:space="preserve"> 201</w:t>
      </w:r>
      <w:r w:rsidR="004F6B3E">
        <w:rPr>
          <w:rFonts w:ascii="Tahoma" w:eastAsia="Times New Roman" w:hAnsi="Tahoma" w:cs="Tahoma"/>
          <w:sz w:val="24"/>
          <w:szCs w:val="24"/>
          <w:lang w:val="en-US" w:eastAsia="ru-RU"/>
        </w:rPr>
        <w:t>2</w:t>
      </w:r>
      <w:r w:rsidR="00EF07C6">
        <w:rPr>
          <w:rFonts w:ascii="Tahoma" w:eastAsia="Times New Roman" w:hAnsi="Tahoma" w:cs="Tahoma"/>
          <w:sz w:val="24"/>
          <w:szCs w:val="24"/>
          <w:lang w:val="en-US" w:eastAsia="ru-RU"/>
        </w:rPr>
        <w:t xml:space="preserve">, </w:t>
      </w:r>
      <w:r w:rsidR="00EF07C6" w:rsidRPr="00311B8A">
        <w:rPr>
          <w:rFonts w:ascii="Tahoma" w:eastAsia="Times New Roman" w:hAnsi="Tahoma" w:cs="Tahoma"/>
          <w:sz w:val="24"/>
          <w:szCs w:val="24"/>
          <w:lang w:val="en-US" w:eastAsia="ru-RU"/>
        </w:rPr>
        <w:t xml:space="preserve">which is </w:t>
      </w:r>
      <w:r w:rsidR="004F6B3E">
        <w:rPr>
          <w:rFonts w:ascii="Tahoma" w:eastAsia="Times New Roman" w:hAnsi="Tahoma" w:cs="Tahoma"/>
          <w:sz w:val="24"/>
          <w:szCs w:val="24"/>
          <w:lang w:val="en-US" w:eastAsia="ru-RU"/>
        </w:rPr>
        <w:t xml:space="preserve">mostly </w:t>
      </w:r>
      <w:r w:rsidR="00EF07C6" w:rsidRPr="00311B8A">
        <w:rPr>
          <w:rFonts w:ascii="Tahoma" w:eastAsia="Times New Roman" w:hAnsi="Tahoma" w:cs="Tahoma"/>
          <w:sz w:val="24"/>
          <w:szCs w:val="24"/>
          <w:lang w:val="en-US" w:eastAsia="ru-RU"/>
        </w:rPr>
        <w:t>the</w:t>
      </w:r>
      <w:r w:rsidR="00ED6E6B" w:rsidRPr="00311B8A">
        <w:rPr>
          <w:rFonts w:ascii="Tahoma" w:eastAsia="Times New Roman" w:hAnsi="Tahoma" w:cs="Tahoma"/>
          <w:sz w:val="24"/>
          <w:szCs w:val="24"/>
          <w:lang w:val="en-US" w:eastAsia="ru-RU"/>
        </w:rPr>
        <w:t xml:space="preserve"> result </w:t>
      </w:r>
      <w:r w:rsidR="002B32AF" w:rsidRPr="004E2DB9">
        <w:rPr>
          <w:rFonts w:ascii="Tahoma" w:eastAsia="Times New Roman" w:hAnsi="Tahoma" w:cs="Tahoma"/>
          <w:sz w:val="24"/>
          <w:szCs w:val="24"/>
          <w:lang w:val="en-US" w:eastAsia="ru-RU"/>
        </w:rPr>
        <w:t xml:space="preserve">of the </w:t>
      </w:r>
      <w:r w:rsidR="00EB2A47">
        <w:rPr>
          <w:rFonts w:ascii="Tahoma" w:eastAsia="Times New Roman" w:hAnsi="Tahoma" w:cs="Tahoma"/>
          <w:sz w:val="24"/>
          <w:szCs w:val="24"/>
          <w:lang w:val="en-US" w:eastAsia="ru-RU"/>
        </w:rPr>
        <w:t>3</w:t>
      </w:r>
      <w:r w:rsidR="004F6B3E">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in</w:t>
      </w:r>
      <w:r w:rsidR="002B32AF" w:rsidRPr="004E2DB9">
        <w:rPr>
          <w:rFonts w:ascii="Tahoma" w:eastAsia="Times New Roman" w:hAnsi="Tahoma" w:cs="Tahoma"/>
          <w:sz w:val="24"/>
          <w:szCs w:val="24"/>
          <w:lang w:val="en-US" w:eastAsia="ru-RU"/>
        </w:rPr>
        <w:t xml:space="preserve">crease </w:t>
      </w:r>
      <w:r w:rsidR="006B3242">
        <w:rPr>
          <w:rFonts w:ascii="Tahoma" w:eastAsia="Times New Roman" w:hAnsi="Tahoma" w:cs="Tahoma"/>
          <w:sz w:val="24"/>
          <w:szCs w:val="24"/>
          <w:lang w:val="en-US" w:eastAsia="ru-RU"/>
        </w:rPr>
        <w:t>in</w:t>
      </w:r>
      <w:r w:rsidR="002B32AF" w:rsidRPr="004E2DB9">
        <w:rPr>
          <w:rFonts w:ascii="Tahoma" w:eastAsia="Times New Roman" w:hAnsi="Tahoma" w:cs="Tahoma"/>
          <w:sz w:val="24"/>
          <w:szCs w:val="24"/>
          <w:lang w:val="en-US" w:eastAsia="ru-RU"/>
        </w:rPr>
        <w:t xml:space="preserve"> retained losses to </w:t>
      </w:r>
      <w:r w:rsidR="004F6B3E">
        <w:rPr>
          <w:rFonts w:ascii="Tahoma" w:eastAsia="Times New Roman" w:hAnsi="Tahoma" w:cs="Tahoma"/>
          <w:sz w:val="24"/>
          <w:szCs w:val="24"/>
          <w:lang w:val="en-US" w:eastAsia="ru-RU"/>
        </w:rPr>
        <w:t>1</w:t>
      </w:r>
      <w:r w:rsidR="00EB2A47">
        <w:rPr>
          <w:rFonts w:ascii="Tahoma" w:eastAsia="Times New Roman" w:hAnsi="Tahoma" w:cs="Tahoma"/>
          <w:sz w:val="24"/>
          <w:szCs w:val="24"/>
          <w:lang w:val="en-US" w:eastAsia="ru-RU"/>
        </w:rPr>
        <w:t>6</w:t>
      </w:r>
      <w:r w:rsidR="002B32AF" w:rsidRPr="004E2DB9">
        <w:rPr>
          <w:rFonts w:ascii="Tahoma" w:eastAsia="Times New Roman" w:hAnsi="Tahoma" w:cs="Tahoma"/>
          <w:sz w:val="24"/>
          <w:szCs w:val="24"/>
          <w:lang w:val="en-US" w:eastAsia="ru-RU"/>
        </w:rPr>
        <w:t>,</w:t>
      </w:r>
      <w:r w:rsidR="00EB2A47">
        <w:rPr>
          <w:rFonts w:ascii="Tahoma" w:eastAsia="Times New Roman" w:hAnsi="Tahoma" w:cs="Tahoma"/>
          <w:sz w:val="24"/>
          <w:szCs w:val="24"/>
          <w:lang w:val="en-US" w:eastAsia="ru-RU"/>
        </w:rPr>
        <w:t>1</w:t>
      </w:r>
      <w:r w:rsidR="00930C87">
        <w:rPr>
          <w:rFonts w:ascii="Tahoma" w:eastAsia="Times New Roman" w:hAnsi="Tahoma" w:cs="Tahoma"/>
          <w:sz w:val="24"/>
          <w:szCs w:val="24"/>
          <w:lang w:val="en-US" w:eastAsia="ru-RU"/>
        </w:rPr>
        <w:t>9</w:t>
      </w:r>
      <w:r w:rsidR="00EB2A47">
        <w:rPr>
          <w:rFonts w:ascii="Tahoma" w:eastAsia="Times New Roman" w:hAnsi="Tahoma" w:cs="Tahoma"/>
          <w:sz w:val="24"/>
          <w:szCs w:val="24"/>
          <w:lang w:val="en-US" w:eastAsia="ru-RU"/>
        </w:rPr>
        <w:t>5</w:t>
      </w:r>
      <w:r w:rsidR="007A4B72" w:rsidRPr="006C2944">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4F6B3E">
        <w:rPr>
          <w:rFonts w:ascii="Tahoma" w:eastAsia="Times New Roman" w:hAnsi="Tahoma" w:cs="Tahoma"/>
          <w:sz w:val="24"/>
          <w:szCs w:val="24"/>
          <w:lang w:val="en-US" w:eastAsia="ru-RU"/>
        </w:rPr>
        <w:t xml:space="preserve"> RUB</w:t>
      </w:r>
      <w:r w:rsidR="00693A9B">
        <w:rPr>
          <w:rFonts w:ascii="Tahoma" w:eastAsia="Times New Roman" w:hAnsi="Tahoma" w:cs="Tahoma"/>
          <w:sz w:val="24"/>
          <w:szCs w:val="24"/>
          <w:lang w:val="en-US" w:eastAsia="ru-RU"/>
        </w:rPr>
        <w:t>.</w:t>
      </w:r>
    </w:p>
    <w:p w:rsidR="006605D6" w:rsidRPr="009D2CB6" w:rsidRDefault="006605D6" w:rsidP="00595970">
      <w:pPr>
        <w:spacing w:after="0" w:line="240" w:lineRule="auto"/>
        <w:jc w:val="both"/>
        <w:rPr>
          <w:rFonts w:ascii="Tahoma" w:eastAsia="Times New Roman" w:hAnsi="Tahoma" w:cs="Tahoma"/>
          <w:sz w:val="24"/>
          <w:szCs w:val="24"/>
          <w:lang w:val="en-US" w:eastAsia="ru-RU"/>
        </w:rPr>
      </w:pPr>
    </w:p>
    <w:p w:rsidR="00595970" w:rsidRPr="007F12E5" w:rsidRDefault="00595970" w:rsidP="00595970">
      <w:pPr>
        <w:spacing w:after="0" w:line="240" w:lineRule="auto"/>
        <w:jc w:val="both"/>
        <w:rPr>
          <w:rFonts w:ascii="Tahoma" w:eastAsia="Times New Roman" w:hAnsi="Tahoma" w:cs="Tahoma"/>
          <w:sz w:val="24"/>
          <w:szCs w:val="24"/>
          <w:lang w:val="en-US" w:eastAsia="ru-RU"/>
        </w:rPr>
      </w:pPr>
      <w:r w:rsidRPr="00305BF3">
        <w:rPr>
          <w:rFonts w:ascii="Tahoma" w:eastAsia="Times New Roman" w:hAnsi="Tahoma" w:cs="Tahoma"/>
          <w:sz w:val="24"/>
          <w:szCs w:val="24"/>
          <w:lang w:val="en-US" w:eastAsia="ru-RU"/>
        </w:rPr>
        <w:t xml:space="preserve">The Group's total liabilities as </w:t>
      </w:r>
      <w:r w:rsidR="00E45D1B" w:rsidRPr="00305BF3">
        <w:rPr>
          <w:rFonts w:ascii="Tahoma" w:eastAsia="Times New Roman" w:hAnsi="Tahoma" w:cs="Tahoma"/>
          <w:sz w:val="24"/>
          <w:szCs w:val="24"/>
          <w:lang w:val="en-US" w:eastAsia="ru-RU"/>
        </w:rPr>
        <w:t>of</w:t>
      </w:r>
      <w:r w:rsidRPr="00305BF3">
        <w:rPr>
          <w:rFonts w:ascii="Tahoma" w:eastAsia="Times New Roman" w:hAnsi="Tahoma" w:cs="Tahoma"/>
          <w:sz w:val="24"/>
          <w:szCs w:val="24"/>
          <w:lang w:val="en-US" w:eastAsia="ru-RU"/>
        </w:rPr>
        <w:t xml:space="preserve"> </w:t>
      </w:r>
      <w:r w:rsidR="00BC2C91">
        <w:rPr>
          <w:rFonts w:ascii="Tahoma" w:eastAsia="Times New Roman" w:hAnsi="Tahoma" w:cs="Tahoma"/>
          <w:sz w:val="24"/>
          <w:szCs w:val="24"/>
          <w:lang w:val="en-US" w:eastAsia="ru-RU"/>
        </w:rPr>
        <w:t>3</w:t>
      </w:r>
      <w:r w:rsidR="00930C87">
        <w:rPr>
          <w:rFonts w:ascii="Tahoma" w:eastAsia="Times New Roman" w:hAnsi="Tahoma" w:cs="Tahoma"/>
          <w:sz w:val="24"/>
          <w:szCs w:val="24"/>
          <w:lang w:val="en-US" w:eastAsia="ru-RU"/>
        </w:rPr>
        <w:t>0</w:t>
      </w:r>
      <w:r w:rsidR="00BC2C91">
        <w:rPr>
          <w:rFonts w:ascii="Tahoma" w:eastAsia="Times New Roman" w:hAnsi="Tahoma" w:cs="Tahoma"/>
          <w:sz w:val="24"/>
          <w:szCs w:val="24"/>
          <w:lang w:val="en-US" w:eastAsia="ru-RU"/>
        </w:rPr>
        <w:t xml:space="preserve"> </w:t>
      </w:r>
      <w:r w:rsidR="00EB2A47">
        <w:rPr>
          <w:rFonts w:ascii="Tahoma" w:eastAsia="Times New Roman" w:hAnsi="Tahoma" w:cs="Tahoma"/>
          <w:sz w:val="24"/>
          <w:szCs w:val="24"/>
          <w:lang w:val="en-US" w:eastAsia="ru-RU"/>
        </w:rPr>
        <w:t>September</w:t>
      </w:r>
      <w:r w:rsidRPr="00305BF3">
        <w:rPr>
          <w:rFonts w:ascii="Tahoma" w:eastAsia="Times New Roman" w:hAnsi="Tahoma" w:cs="Tahoma"/>
          <w:sz w:val="24"/>
          <w:szCs w:val="24"/>
          <w:lang w:val="en-US" w:eastAsia="ru-RU"/>
        </w:rPr>
        <w:t xml:space="preserve"> 201</w:t>
      </w:r>
      <w:r w:rsidR="004F6B3E">
        <w:rPr>
          <w:rFonts w:ascii="Tahoma" w:eastAsia="Times New Roman" w:hAnsi="Tahoma" w:cs="Tahoma"/>
          <w:sz w:val="24"/>
          <w:szCs w:val="24"/>
          <w:lang w:val="en-US" w:eastAsia="ru-RU"/>
        </w:rPr>
        <w:t>3</w:t>
      </w:r>
      <w:r w:rsidRPr="00305BF3">
        <w:rPr>
          <w:rFonts w:ascii="Tahoma" w:eastAsia="Times New Roman" w:hAnsi="Tahoma" w:cs="Tahoma"/>
          <w:sz w:val="24"/>
          <w:szCs w:val="24"/>
          <w:lang w:val="en-US" w:eastAsia="ru-RU"/>
        </w:rPr>
        <w:t xml:space="preserve"> </w:t>
      </w:r>
      <w:r w:rsidR="00930C87">
        <w:rPr>
          <w:rFonts w:ascii="Tahoma" w:eastAsia="Times New Roman" w:hAnsi="Tahoma" w:cs="Tahoma"/>
          <w:sz w:val="24"/>
          <w:szCs w:val="24"/>
          <w:lang w:val="en-US" w:eastAsia="ru-RU"/>
        </w:rPr>
        <w:t xml:space="preserve">increased </w:t>
      </w:r>
      <w:r w:rsidR="004F6B3E">
        <w:rPr>
          <w:rFonts w:ascii="Tahoma" w:eastAsia="Times New Roman" w:hAnsi="Tahoma" w:cs="Tahoma"/>
          <w:sz w:val="24"/>
          <w:szCs w:val="24"/>
          <w:lang w:val="en-US" w:eastAsia="ru-RU"/>
        </w:rPr>
        <w:t xml:space="preserve">by </w:t>
      </w:r>
      <w:r w:rsidR="00EB2A47">
        <w:rPr>
          <w:rFonts w:ascii="Tahoma" w:eastAsia="Times New Roman" w:hAnsi="Tahoma" w:cs="Tahoma"/>
          <w:sz w:val="24"/>
          <w:szCs w:val="24"/>
          <w:lang w:val="en-US" w:eastAsia="ru-RU"/>
        </w:rPr>
        <w:t>10</w:t>
      </w:r>
      <w:r w:rsidR="004F6B3E">
        <w:rPr>
          <w:rFonts w:ascii="Tahoma" w:eastAsia="Times New Roman" w:hAnsi="Tahoma" w:cs="Tahoma"/>
          <w:sz w:val="24"/>
          <w:szCs w:val="24"/>
          <w:lang w:val="en-US" w:eastAsia="ru-RU"/>
        </w:rPr>
        <w:t xml:space="preserve">% to </w:t>
      </w:r>
      <w:r w:rsidRPr="00305BF3">
        <w:rPr>
          <w:rFonts w:ascii="Tahoma" w:eastAsia="Times New Roman" w:hAnsi="Tahoma" w:cs="Tahoma"/>
          <w:sz w:val="24"/>
          <w:szCs w:val="24"/>
          <w:lang w:val="en-US" w:eastAsia="ru-RU"/>
        </w:rPr>
        <w:t>1</w:t>
      </w:r>
      <w:r w:rsidR="00EB2A47">
        <w:rPr>
          <w:rFonts w:ascii="Tahoma" w:eastAsia="Times New Roman" w:hAnsi="Tahoma" w:cs="Tahoma"/>
          <w:sz w:val="24"/>
          <w:szCs w:val="24"/>
          <w:lang w:val="en-US" w:eastAsia="ru-RU"/>
        </w:rPr>
        <w:t>16</w:t>
      </w:r>
      <w:r w:rsidRPr="00305BF3">
        <w:rPr>
          <w:rFonts w:ascii="Tahoma" w:eastAsia="Times New Roman" w:hAnsi="Tahoma" w:cs="Tahoma"/>
          <w:sz w:val="24"/>
          <w:szCs w:val="24"/>
          <w:lang w:val="en-US" w:eastAsia="ru-RU"/>
        </w:rPr>
        <w:t>,</w:t>
      </w:r>
      <w:r w:rsidR="00EB2A47">
        <w:rPr>
          <w:rFonts w:ascii="Tahoma" w:eastAsia="Times New Roman" w:hAnsi="Tahoma" w:cs="Tahoma"/>
          <w:sz w:val="24"/>
          <w:szCs w:val="24"/>
          <w:lang w:val="en-US" w:eastAsia="ru-RU"/>
        </w:rPr>
        <w:t>608</w:t>
      </w:r>
      <w:r w:rsidRPr="00305BF3">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Pr="00305BF3">
        <w:rPr>
          <w:rFonts w:ascii="Tahoma" w:eastAsia="Times New Roman" w:hAnsi="Tahoma" w:cs="Tahoma"/>
          <w:sz w:val="24"/>
          <w:szCs w:val="24"/>
          <w:lang w:val="en-US" w:eastAsia="ru-RU"/>
        </w:rPr>
        <w:t xml:space="preserve"> </w:t>
      </w:r>
      <w:r w:rsidR="001E36C5" w:rsidRPr="00305BF3">
        <w:rPr>
          <w:rFonts w:ascii="Tahoma" w:eastAsia="Times New Roman" w:hAnsi="Tahoma" w:cs="Tahoma"/>
          <w:sz w:val="24"/>
          <w:szCs w:val="24"/>
          <w:lang w:val="en-US" w:eastAsia="ru-RU"/>
        </w:rPr>
        <w:t>RUB</w:t>
      </w:r>
      <w:r w:rsidR="00E45D1B" w:rsidRPr="00305BF3">
        <w:rPr>
          <w:rFonts w:ascii="Tahoma" w:eastAsia="Times New Roman" w:hAnsi="Tahoma" w:cs="Tahoma"/>
          <w:sz w:val="24"/>
          <w:szCs w:val="24"/>
          <w:lang w:val="en-US" w:eastAsia="ru-RU"/>
        </w:rPr>
        <w:t>, from 10</w:t>
      </w:r>
      <w:r w:rsidR="00930C87">
        <w:rPr>
          <w:rFonts w:ascii="Tahoma" w:eastAsia="Times New Roman" w:hAnsi="Tahoma" w:cs="Tahoma"/>
          <w:sz w:val="24"/>
          <w:szCs w:val="24"/>
          <w:lang w:val="en-US" w:eastAsia="ru-RU"/>
        </w:rPr>
        <w:t>6</w:t>
      </w:r>
      <w:r w:rsidR="00E45D1B" w:rsidRPr="00305BF3">
        <w:rPr>
          <w:rFonts w:ascii="Tahoma" w:eastAsia="Times New Roman" w:hAnsi="Tahoma" w:cs="Tahoma"/>
          <w:sz w:val="24"/>
          <w:szCs w:val="24"/>
          <w:lang w:val="en-US" w:eastAsia="ru-RU"/>
        </w:rPr>
        <w:t>,</w:t>
      </w:r>
      <w:r w:rsidR="00930C87">
        <w:rPr>
          <w:rFonts w:ascii="Tahoma" w:eastAsia="Times New Roman" w:hAnsi="Tahoma" w:cs="Tahoma"/>
          <w:sz w:val="24"/>
          <w:szCs w:val="24"/>
          <w:lang w:val="en-US" w:eastAsia="ru-RU"/>
        </w:rPr>
        <w:t>440</w:t>
      </w:r>
      <w:r w:rsidR="00E45D1B" w:rsidRPr="00305BF3">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E45D1B" w:rsidRPr="00305BF3">
        <w:rPr>
          <w:rFonts w:ascii="Tahoma" w:eastAsia="Times New Roman" w:hAnsi="Tahoma" w:cs="Tahoma"/>
          <w:sz w:val="24"/>
          <w:szCs w:val="24"/>
          <w:lang w:val="en-US" w:eastAsia="ru-RU"/>
        </w:rPr>
        <w:t xml:space="preserve"> RUB as of</w:t>
      </w:r>
      <w:r w:rsidRPr="00305BF3">
        <w:rPr>
          <w:rFonts w:ascii="Tahoma" w:eastAsia="Times New Roman" w:hAnsi="Tahoma" w:cs="Tahoma"/>
          <w:sz w:val="24"/>
          <w:szCs w:val="24"/>
          <w:lang w:val="en-US" w:eastAsia="ru-RU"/>
        </w:rPr>
        <w:t xml:space="preserve"> 31 December 20</w:t>
      </w:r>
      <w:r w:rsidR="00981B24" w:rsidRPr="00305BF3">
        <w:rPr>
          <w:rFonts w:ascii="Tahoma" w:eastAsia="Times New Roman" w:hAnsi="Tahoma" w:cs="Tahoma"/>
          <w:sz w:val="24"/>
          <w:szCs w:val="24"/>
          <w:lang w:val="en-US" w:eastAsia="ru-RU"/>
        </w:rPr>
        <w:t>1</w:t>
      </w:r>
      <w:r w:rsidR="004F6B3E">
        <w:rPr>
          <w:rFonts w:ascii="Tahoma" w:eastAsia="Times New Roman" w:hAnsi="Tahoma" w:cs="Tahoma"/>
          <w:sz w:val="24"/>
          <w:szCs w:val="24"/>
          <w:lang w:val="en-US" w:eastAsia="ru-RU"/>
        </w:rPr>
        <w:t>2. This was provided by:</w:t>
      </w:r>
    </w:p>
    <w:p w:rsidR="007A4B72" w:rsidRPr="00311B8A" w:rsidRDefault="0050420C" w:rsidP="00BE6ECB">
      <w:pPr>
        <w:numPr>
          <w:ilvl w:val="0"/>
          <w:numId w:val="9"/>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sz w:val="24"/>
          <w:szCs w:val="24"/>
          <w:lang w:val="en-US" w:eastAsia="ru-RU"/>
        </w:rPr>
        <w:t>The g</w:t>
      </w:r>
      <w:r w:rsidR="00930C87">
        <w:rPr>
          <w:rFonts w:ascii="Tahoma" w:eastAsia="Times New Roman" w:hAnsi="Tahoma" w:cs="Tahoma"/>
          <w:sz w:val="24"/>
          <w:szCs w:val="24"/>
          <w:lang w:val="en-US" w:eastAsia="ru-RU"/>
        </w:rPr>
        <w:t>rowth</w:t>
      </w:r>
      <w:r w:rsidR="004F6B3E">
        <w:rPr>
          <w:rFonts w:ascii="Tahoma" w:eastAsia="Times New Roman" w:hAnsi="Tahoma" w:cs="Tahoma"/>
          <w:sz w:val="24"/>
          <w:szCs w:val="24"/>
          <w:lang w:val="en-US" w:eastAsia="ru-RU"/>
        </w:rPr>
        <w:t xml:space="preserve"> of f</w:t>
      </w:r>
      <w:r w:rsidR="007A4B72" w:rsidRPr="00311B8A">
        <w:rPr>
          <w:rFonts w:ascii="Tahoma" w:eastAsia="Times New Roman" w:hAnsi="Tahoma" w:cs="Tahoma"/>
          <w:sz w:val="24"/>
          <w:szCs w:val="24"/>
          <w:lang w:val="en-US" w:eastAsia="ru-RU"/>
        </w:rPr>
        <w:t xml:space="preserve">inancial debt </w:t>
      </w:r>
      <w:r w:rsidR="00930C87">
        <w:rPr>
          <w:rFonts w:ascii="Tahoma" w:eastAsia="Times New Roman" w:hAnsi="Tahoma" w:cs="Tahoma"/>
          <w:sz w:val="24"/>
          <w:szCs w:val="24"/>
          <w:lang w:val="en-US" w:eastAsia="ru-RU"/>
        </w:rPr>
        <w:t xml:space="preserve">(total of short-term and long-term debt) </w:t>
      </w:r>
      <w:r w:rsidR="00CA5EC6">
        <w:rPr>
          <w:rFonts w:ascii="Tahoma" w:eastAsia="Times New Roman" w:hAnsi="Tahoma" w:cs="Tahoma"/>
          <w:sz w:val="24"/>
          <w:szCs w:val="24"/>
          <w:lang w:val="en-US" w:eastAsia="ru-RU"/>
        </w:rPr>
        <w:t xml:space="preserve">by </w:t>
      </w:r>
      <w:r w:rsidR="00EB2A47">
        <w:rPr>
          <w:rFonts w:ascii="Tahoma" w:eastAsia="Times New Roman" w:hAnsi="Tahoma" w:cs="Tahoma"/>
          <w:sz w:val="24"/>
          <w:szCs w:val="24"/>
          <w:lang w:val="en-US" w:eastAsia="ru-RU"/>
        </w:rPr>
        <w:t>27</w:t>
      </w:r>
      <w:r w:rsidR="007A4B72" w:rsidRPr="00311B8A">
        <w:rPr>
          <w:rFonts w:ascii="Tahoma" w:eastAsia="Times New Roman" w:hAnsi="Tahoma" w:cs="Tahoma"/>
          <w:sz w:val="24"/>
          <w:szCs w:val="24"/>
          <w:lang w:val="en-US" w:eastAsia="ru-RU"/>
        </w:rPr>
        <w:t xml:space="preserve">% to </w:t>
      </w:r>
      <w:r w:rsidR="00930C87">
        <w:rPr>
          <w:rFonts w:ascii="Tahoma" w:eastAsia="Times New Roman" w:hAnsi="Tahoma" w:cs="Tahoma"/>
          <w:sz w:val="24"/>
          <w:szCs w:val="24"/>
          <w:lang w:val="en-US" w:eastAsia="ru-RU"/>
        </w:rPr>
        <w:t>6</w:t>
      </w:r>
      <w:r w:rsidR="00EB2A47">
        <w:rPr>
          <w:rFonts w:ascii="Tahoma" w:eastAsia="Times New Roman" w:hAnsi="Tahoma" w:cs="Tahoma"/>
          <w:sz w:val="24"/>
          <w:szCs w:val="24"/>
          <w:lang w:val="en-US" w:eastAsia="ru-RU"/>
        </w:rPr>
        <w:t>6</w:t>
      </w:r>
      <w:r w:rsidR="007A4B72" w:rsidRPr="00311B8A">
        <w:rPr>
          <w:rFonts w:ascii="Tahoma" w:eastAsia="Times New Roman" w:hAnsi="Tahoma" w:cs="Tahoma"/>
          <w:sz w:val="24"/>
          <w:szCs w:val="24"/>
          <w:lang w:val="en-US" w:eastAsia="ru-RU"/>
        </w:rPr>
        <w:t>,</w:t>
      </w:r>
      <w:r w:rsidR="00EB2A47">
        <w:rPr>
          <w:rFonts w:ascii="Tahoma" w:eastAsia="Times New Roman" w:hAnsi="Tahoma" w:cs="Tahoma"/>
          <w:sz w:val="24"/>
          <w:szCs w:val="24"/>
          <w:lang w:val="en-US" w:eastAsia="ru-RU"/>
        </w:rPr>
        <w:t>682</w:t>
      </w:r>
      <w:r w:rsidR="007A4B72" w:rsidRPr="00311B8A">
        <w:rPr>
          <w:rFonts w:ascii="Tahoma" w:eastAsia="Times New Roman" w:hAnsi="Tahoma" w:cs="Tahoma"/>
          <w:sz w:val="24"/>
          <w:szCs w:val="24"/>
          <w:lang w:val="en-US" w:eastAsia="ru-RU"/>
        </w:rPr>
        <w:t xml:space="preserve"> </w:t>
      </w:r>
      <w:r w:rsidR="002C260F">
        <w:rPr>
          <w:rFonts w:ascii="Tahoma" w:eastAsia="Times New Roman" w:hAnsi="Tahoma" w:cs="Tahoma"/>
          <w:sz w:val="24"/>
          <w:szCs w:val="24"/>
          <w:lang w:val="en-US" w:eastAsia="ru-RU"/>
        </w:rPr>
        <w:t>million</w:t>
      </w:r>
      <w:r w:rsidR="007A4B72" w:rsidRPr="00311B8A">
        <w:rPr>
          <w:rFonts w:ascii="Tahoma" w:eastAsia="Times New Roman" w:hAnsi="Tahoma" w:cs="Tahoma"/>
          <w:sz w:val="24"/>
          <w:szCs w:val="24"/>
          <w:lang w:val="en-US" w:eastAsia="ru-RU"/>
        </w:rPr>
        <w:t xml:space="preserve"> RUB</w:t>
      </w:r>
      <w:r w:rsidR="00EB2A47">
        <w:rPr>
          <w:rFonts w:ascii="Tahoma" w:eastAsia="Times New Roman" w:hAnsi="Tahoma" w:cs="Tahoma"/>
          <w:sz w:val="24"/>
          <w:szCs w:val="24"/>
          <w:lang w:val="en-US" w:eastAsia="ru-RU"/>
        </w:rPr>
        <w:t xml:space="preserve"> mostly due to </w:t>
      </w:r>
      <w:r w:rsidR="00E52320">
        <w:rPr>
          <w:rFonts w:ascii="Tahoma" w:eastAsia="Times New Roman" w:hAnsi="Tahoma" w:cs="Tahoma"/>
          <w:sz w:val="24"/>
          <w:szCs w:val="24"/>
          <w:lang w:val="en-US" w:eastAsia="ru-RU"/>
        </w:rPr>
        <w:t xml:space="preserve">new loans issued by EBRD and </w:t>
      </w:r>
      <w:proofErr w:type="spellStart"/>
      <w:r w:rsidR="00E52320">
        <w:rPr>
          <w:rFonts w:ascii="Tahoma" w:eastAsia="Times New Roman" w:hAnsi="Tahoma" w:cs="Tahoma"/>
          <w:sz w:val="24"/>
          <w:szCs w:val="24"/>
          <w:lang w:val="en-US" w:eastAsia="ru-RU"/>
        </w:rPr>
        <w:t>Sberbank</w:t>
      </w:r>
      <w:proofErr w:type="spellEnd"/>
      <w:r w:rsidR="00646E26">
        <w:rPr>
          <w:rFonts w:ascii="Tahoma" w:eastAsia="Times New Roman" w:hAnsi="Tahoma" w:cs="Tahoma"/>
          <w:sz w:val="24"/>
          <w:szCs w:val="24"/>
          <w:lang w:val="en-US" w:eastAsia="ru-RU"/>
        </w:rPr>
        <w:t>;</w:t>
      </w:r>
    </w:p>
    <w:p w:rsidR="00930C87" w:rsidRPr="00930C87" w:rsidRDefault="0050420C" w:rsidP="00BE6ECB">
      <w:pPr>
        <w:numPr>
          <w:ilvl w:val="0"/>
          <w:numId w:val="9"/>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The n</w:t>
      </w:r>
      <w:r w:rsidR="00981B24" w:rsidRPr="008F6FF3">
        <w:rPr>
          <w:rFonts w:ascii="Tahoma" w:eastAsia="Times New Roman" w:hAnsi="Tahoma" w:cs="Tahoma"/>
          <w:color w:val="000000"/>
          <w:sz w:val="24"/>
          <w:szCs w:val="24"/>
          <w:lang w:val="en-US" w:eastAsia="ru-RU"/>
        </w:rPr>
        <w:t xml:space="preserve">on-current debt </w:t>
      </w:r>
      <w:r w:rsidR="00930C87">
        <w:rPr>
          <w:rFonts w:ascii="Tahoma" w:eastAsia="Times New Roman" w:hAnsi="Tahoma" w:cs="Tahoma"/>
          <w:color w:val="000000"/>
          <w:sz w:val="24"/>
          <w:szCs w:val="24"/>
          <w:lang w:val="en-US" w:eastAsia="ru-RU"/>
        </w:rPr>
        <w:t>i</w:t>
      </w:r>
      <w:r w:rsidR="004F6B3E">
        <w:rPr>
          <w:rFonts w:ascii="Tahoma" w:eastAsia="Times New Roman" w:hAnsi="Tahoma" w:cs="Tahoma"/>
          <w:color w:val="000000"/>
          <w:sz w:val="24"/>
          <w:szCs w:val="24"/>
          <w:lang w:val="en-US" w:eastAsia="ru-RU"/>
        </w:rPr>
        <w:t>n</w:t>
      </w:r>
      <w:r w:rsidR="006605D6" w:rsidRPr="008F6FF3">
        <w:rPr>
          <w:rFonts w:ascii="Tahoma" w:eastAsia="Times New Roman" w:hAnsi="Tahoma" w:cs="Tahoma"/>
          <w:color w:val="000000"/>
          <w:sz w:val="24"/>
          <w:szCs w:val="24"/>
          <w:lang w:val="en-US" w:eastAsia="ru-RU"/>
        </w:rPr>
        <w:t xml:space="preserve">creased </w:t>
      </w:r>
      <w:r w:rsidR="00981B24" w:rsidRPr="008F6FF3">
        <w:rPr>
          <w:rFonts w:ascii="Tahoma" w:eastAsia="Times New Roman" w:hAnsi="Tahoma" w:cs="Tahoma"/>
          <w:color w:val="000000"/>
          <w:sz w:val="24"/>
          <w:szCs w:val="24"/>
          <w:lang w:val="en-US" w:eastAsia="ru-RU"/>
        </w:rPr>
        <w:t xml:space="preserve">by </w:t>
      </w:r>
      <w:r w:rsidR="00E52320">
        <w:rPr>
          <w:rFonts w:ascii="Tahoma" w:eastAsia="Times New Roman" w:hAnsi="Tahoma" w:cs="Tahoma"/>
          <w:color w:val="000000"/>
          <w:sz w:val="24"/>
          <w:szCs w:val="24"/>
          <w:lang w:val="en-US" w:eastAsia="ru-RU"/>
        </w:rPr>
        <w:t>51</w:t>
      </w:r>
      <w:r w:rsidR="00981B24" w:rsidRPr="008F6FF3">
        <w:rPr>
          <w:rFonts w:ascii="Tahoma" w:eastAsia="Times New Roman" w:hAnsi="Tahoma" w:cs="Tahoma"/>
          <w:color w:val="000000"/>
          <w:sz w:val="24"/>
          <w:szCs w:val="24"/>
          <w:lang w:val="en-US" w:eastAsia="ru-RU"/>
        </w:rPr>
        <w:t>% to</w:t>
      </w:r>
      <w:r w:rsidR="007378AA">
        <w:rPr>
          <w:rFonts w:ascii="Tahoma" w:eastAsia="Times New Roman" w:hAnsi="Tahoma" w:cs="Tahoma"/>
          <w:color w:val="000000"/>
          <w:sz w:val="24"/>
          <w:szCs w:val="24"/>
          <w:lang w:val="en-US" w:eastAsia="ru-RU"/>
        </w:rPr>
        <w:t xml:space="preserve"> </w:t>
      </w:r>
      <w:r w:rsidR="00930C87">
        <w:rPr>
          <w:rFonts w:ascii="Tahoma" w:eastAsia="Times New Roman" w:hAnsi="Tahoma" w:cs="Tahoma"/>
          <w:color w:val="000000"/>
          <w:sz w:val="24"/>
          <w:szCs w:val="24"/>
          <w:lang w:val="en-US" w:eastAsia="ru-RU"/>
        </w:rPr>
        <w:t>3</w:t>
      </w:r>
      <w:r w:rsidR="00E52320">
        <w:rPr>
          <w:rFonts w:ascii="Tahoma" w:eastAsia="Times New Roman" w:hAnsi="Tahoma" w:cs="Tahoma"/>
          <w:color w:val="000000"/>
          <w:sz w:val="24"/>
          <w:szCs w:val="24"/>
          <w:lang w:val="en-US" w:eastAsia="ru-RU"/>
        </w:rPr>
        <w:t>6</w:t>
      </w:r>
      <w:r w:rsidR="008F6FF3">
        <w:rPr>
          <w:rFonts w:ascii="Tahoma" w:eastAsia="Times New Roman" w:hAnsi="Tahoma" w:cs="Tahoma"/>
          <w:color w:val="000000"/>
          <w:sz w:val="24"/>
          <w:szCs w:val="24"/>
          <w:lang w:val="en-US" w:eastAsia="ru-RU"/>
        </w:rPr>
        <w:t>,</w:t>
      </w:r>
      <w:r w:rsidR="00E52320">
        <w:rPr>
          <w:rFonts w:ascii="Tahoma" w:eastAsia="Times New Roman" w:hAnsi="Tahoma" w:cs="Tahoma"/>
          <w:color w:val="000000"/>
          <w:sz w:val="24"/>
          <w:szCs w:val="24"/>
          <w:lang w:val="en-US" w:eastAsia="ru-RU"/>
        </w:rPr>
        <w:t>99</w:t>
      </w:r>
      <w:r w:rsidR="004F6B3E">
        <w:rPr>
          <w:rFonts w:ascii="Tahoma" w:eastAsia="Times New Roman" w:hAnsi="Tahoma" w:cs="Tahoma"/>
          <w:color w:val="000000"/>
          <w:sz w:val="24"/>
          <w:szCs w:val="24"/>
          <w:lang w:val="en-US" w:eastAsia="ru-RU"/>
        </w:rPr>
        <w:t>6</w:t>
      </w:r>
      <w:r w:rsidR="00981B24" w:rsidRPr="008F6FF3">
        <w:rPr>
          <w:rFonts w:ascii="Tahoma" w:eastAsia="Times New Roman" w:hAnsi="Tahoma" w:cs="Tahoma"/>
          <w:color w:val="000000"/>
          <w:sz w:val="24"/>
          <w:szCs w:val="24"/>
          <w:lang w:val="en-US" w:eastAsia="ru-RU"/>
        </w:rPr>
        <w:t xml:space="preserve"> </w:t>
      </w:r>
      <w:r w:rsidR="002C260F">
        <w:rPr>
          <w:rFonts w:ascii="Tahoma" w:eastAsia="Times New Roman" w:hAnsi="Tahoma" w:cs="Tahoma"/>
          <w:color w:val="000000"/>
          <w:sz w:val="24"/>
          <w:szCs w:val="24"/>
          <w:lang w:val="en-US" w:eastAsia="ru-RU"/>
        </w:rPr>
        <w:t>million</w:t>
      </w:r>
      <w:r w:rsidR="00981B24" w:rsidRPr="008F6FF3">
        <w:rPr>
          <w:rFonts w:ascii="Tahoma" w:eastAsia="Times New Roman" w:hAnsi="Tahoma" w:cs="Tahoma"/>
          <w:color w:val="000000"/>
          <w:sz w:val="24"/>
          <w:szCs w:val="24"/>
          <w:lang w:val="en-US" w:eastAsia="ru-RU"/>
        </w:rPr>
        <w:t xml:space="preserve"> </w:t>
      </w:r>
      <w:r w:rsidR="001E36C5" w:rsidRPr="008F6FF3">
        <w:rPr>
          <w:rFonts w:ascii="Tahoma" w:eastAsia="Times New Roman" w:hAnsi="Tahoma" w:cs="Tahoma"/>
          <w:color w:val="000000"/>
          <w:sz w:val="24"/>
          <w:szCs w:val="24"/>
          <w:lang w:val="en-US" w:eastAsia="ru-RU"/>
        </w:rPr>
        <w:t>RUB</w:t>
      </w:r>
      <w:r w:rsidR="00930C87">
        <w:rPr>
          <w:rFonts w:ascii="Tahoma" w:eastAsia="Times New Roman" w:hAnsi="Tahoma" w:cs="Tahoma"/>
          <w:color w:val="000000"/>
          <w:sz w:val="24"/>
          <w:szCs w:val="24"/>
          <w:lang w:val="en-US" w:eastAsia="ru-RU"/>
        </w:rPr>
        <w:t>;</w:t>
      </w:r>
    </w:p>
    <w:p w:rsidR="00595970" w:rsidRPr="008F6FF3" w:rsidRDefault="0050420C" w:rsidP="00BE6ECB">
      <w:pPr>
        <w:numPr>
          <w:ilvl w:val="0"/>
          <w:numId w:val="9"/>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The c</w:t>
      </w:r>
      <w:r w:rsidR="00930C87" w:rsidRPr="008F6FF3">
        <w:rPr>
          <w:rFonts w:ascii="Tahoma" w:eastAsia="Times New Roman" w:hAnsi="Tahoma" w:cs="Tahoma"/>
          <w:color w:val="000000"/>
          <w:sz w:val="24"/>
          <w:szCs w:val="24"/>
          <w:lang w:val="en-US" w:eastAsia="ru-RU"/>
        </w:rPr>
        <w:t>urrent debt</w:t>
      </w:r>
      <w:r w:rsidR="00930C87">
        <w:rPr>
          <w:rFonts w:ascii="Tahoma" w:eastAsia="Times New Roman" w:hAnsi="Tahoma" w:cs="Tahoma"/>
          <w:color w:val="000000"/>
          <w:sz w:val="24"/>
          <w:szCs w:val="24"/>
          <w:lang w:val="en-US" w:eastAsia="ru-RU"/>
        </w:rPr>
        <w:t xml:space="preserve"> </w:t>
      </w:r>
      <w:r w:rsidR="00E52320">
        <w:rPr>
          <w:rFonts w:ascii="Tahoma" w:eastAsia="Times New Roman" w:hAnsi="Tahoma" w:cs="Tahoma"/>
          <w:color w:val="000000"/>
          <w:sz w:val="24"/>
          <w:szCs w:val="24"/>
          <w:lang w:val="en-US" w:eastAsia="ru-RU"/>
        </w:rPr>
        <w:t>in</w:t>
      </w:r>
      <w:r w:rsidR="00930C87">
        <w:rPr>
          <w:rFonts w:ascii="Tahoma" w:eastAsia="Times New Roman" w:hAnsi="Tahoma" w:cs="Tahoma"/>
          <w:color w:val="000000"/>
          <w:sz w:val="24"/>
          <w:szCs w:val="24"/>
          <w:lang w:val="en-US" w:eastAsia="ru-RU"/>
        </w:rPr>
        <w:t>creased</w:t>
      </w:r>
      <w:r w:rsidR="00981B24" w:rsidRPr="008F6FF3">
        <w:rPr>
          <w:rFonts w:ascii="Tahoma" w:eastAsia="Times New Roman" w:hAnsi="Tahoma" w:cs="Tahoma"/>
          <w:color w:val="000000"/>
          <w:sz w:val="24"/>
          <w:szCs w:val="24"/>
          <w:lang w:val="en-US" w:eastAsia="ru-RU"/>
        </w:rPr>
        <w:t xml:space="preserve"> by </w:t>
      </w:r>
      <w:r w:rsidR="00E52320">
        <w:rPr>
          <w:rFonts w:ascii="Tahoma" w:eastAsia="Times New Roman" w:hAnsi="Tahoma" w:cs="Tahoma"/>
          <w:color w:val="000000"/>
          <w:sz w:val="24"/>
          <w:szCs w:val="24"/>
          <w:lang w:val="en-US" w:eastAsia="ru-RU"/>
        </w:rPr>
        <w:t>5</w:t>
      </w:r>
      <w:r w:rsidR="00981B24" w:rsidRPr="008F6FF3">
        <w:rPr>
          <w:rFonts w:ascii="Tahoma" w:eastAsia="Times New Roman" w:hAnsi="Tahoma" w:cs="Tahoma"/>
          <w:color w:val="000000"/>
          <w:sz w:val="24"/>
          <w:szCs w:val="24"/>
          <w:lang w:val="en-US" w:eastAsia="ru-RU"/>
        </w:rPr>
        <w:t xml:space="preserve">% </w:t>
      </w:r>
      <w:r w:rsidR="00962DD7" w:rsidRPr="008F6FF3">
        <w:rPr>
          <w:rFonts w:ascii="Tahoma" w:eastAsia="Times New Roman" w:hAnsi="Tahoma" w:cs="Tahoma"/>
          <w:color w:val="000000"/>
          <w:sz w:val="24"/>
          <w:szCs w:val="24"/>
          <w:lang w:val="en-US" w:eastAsia="ru-RU"/>
        </w:rPr>
        <w:t xml:space="preserve">to </w:t>
      </w:r>
      <w:r w:rsidR="004F6B3E">
        <w:rPr>
          <w:rFonts w:ascii="Tahoma" w:eastAsia="Times New Roman" w:hAnsi="Tahoma" w:cs="Tahoma"/>
          <w:color w:val="000000"/>
          <w:sz w:val="24"/>
          <w:szCs w:val="24"/>
          <w:lang w:val="en-US" w:eastAsia="ru-RU"/>
        </w:rPr>
        <w:t>2</w:t>
      </w:r>
      <w:r w:rsidR="00E52320">
        <w:rPr>
          <w:rFonts w:ascii="Tahoma" w:eastAsia="Times New Roman" w:hAnsi="Tahoma" w:cs="Tahoma"/>
          <w:color w:val="000000"/>
          <w:sz w:val="24"/>
          <w:szCs w:val="24"/>
          <w:lang w:val="en-US" w:eastAsia="ru-RU"/>
        </w:rPr>
        <w:t>9</w:t>
      </w:r>
      <w:r w:rsidR="00962DD7" w:rsidRPr="008F6FF3">
        <w:rPr>
          <w:rFonts w:ascii="Tahoma" w:eastAsia="Times New Roman" w:hAnsi="Tahoma" w:cs="Tahoma"/>
          <w:color w:val="000000"/>
          <w:sz w:val="24"/>
          <w:szCs w:val="24"/>
          <w:lang w:val="en-US" w:eastAsia="ru-RU"/>
        </w:rPr>
        <w:t>,</w:t>
      </w:r>
      <w:r w:rsidR="00E52320">
        <w:rPr>
          <w:rFonts w:ascii="Tahoma" w:eastAsia="Times New Roman" w:hAnsi="Tahoma" w:cs="Tahoma"/>
          <w:color w:val="000000"/>
          <w:sz w:val="24"/>
          <w:szCs w:val="24"/>
          <w:lang w:val="en-US" w:eastAsia="ru-RU"/>
        </w:rPr>
        <w:t>6</w:t>
      </w:r>
      <w:r w:rsidR="00930C87">
        <w:rPr>
          <w:rFonts w:ascii="Tahoma" w:eastAsia="Times New Roman" w:hAnsi="Tahoma" w:cs="Tahoma"/>
          <w:color w:val="000000"/>
          <w:sz w:val="24"/>
          <w:szCs w:val="24"/>
          <w:lang w:val="en-US" w:eastAsia="ru-RU"/>
        </w:rPr>
        <w:t>8</w:t>
      </w:r>
      <w:r w:rsidR="00E52320">
        <w:rPr>
          <w:rFonts w:ascii="Tahoma" w:eastAsia="Times New Roman" w:hAnsi="Tahoma" w:cs="Tahoma"/>
          <w:color w:val="000000"/>
          <w:sz w:val="24"/>
          <w:szCs w:val="24"/>
          <w:lang w:val="en-US" w:eastAsia="ru-RU"/>
        </w:rPr>
        <w:t>6</w:t>
      </w:r>
      <w:r w:rsidR="00962DD7" w:rsidRPr="008F6FF3">
        <w:rPr>
          <w:rFonts w:ascii="Tahoma" w:eastAsia="Times New Roman" w:hAnsi="Tahoma" w:cs="Tahoma"/>
          <w:color w:val="000000"/>
          <w:sz w:val="24"/>
          <w:szCs w:val="24"/>
          <w:lang w:val="en-US" w:eastAsia="ru-RU"/>
        </w:rPr>
        <w:t xml:space="preserve"> </w:t>
      </w:r>
      <w:r w:rsidR="002C260F">
        <w:rPr>
          <w:rFonts w:ascii="Tahoma" w:eastAsia="Times New Roman" w:hAnsi="Tahoma" w:cs="Tahoma"/>
          <w:color w:val="000000"/>
          <w:sz w:val="24"/>
          <w:szCs w:val="24"/>
          <w:lang w:val="en-US" w:eastAsia="ru-RU"/>
        </w:rPr>
        <w:t>million</w:t>
      </w:r>
      <w:r w:rsidR="00FE5069">
        <w:rPr>
          <w:rFonts w:ascii="Tahoma" w:eastAsia="Times New Roman" w:hAnsi="Tahoma" w:cs="Tahoma"/>
          <w:color w:val="000000"/>
          <w:sz w:val="24"/>
          <w:szCs w:val="24"/>
          <w:lang w:val="en-US" w:eastAsia="ru-RU"/>
        </w:rPr>
        <w:t xml:space="preserve"> RUB</w:t>
      </w:r>
      <w:r w:rsidR="00646E26">
        <w:rPr>
          <w:rFonts w:ascii="Tahoma" w:eastAsia="Times New Roman" w:hAnsi="Tahoma" w:cs="Tahoma"/>
          <w:color w:val="000000"/>
          <w:sz w:val="24"/>
          <w:szCs w:val="24"/>
          <w:lang w:val="en-US" w:eastAsia="ru-RU"/>
        </w:rPr>
        <w:t>;</w:t>
      </w:r>
    </w:p>
    <w:p w:rsidR="00595970" w:rsidRPr="008F6FF3" w:rsidRDefault="0050420C" w:rsidP="00BE6ECB">
      <w:pPr>
        <w:numPr>
          <w:ilvl w:val="0"/>
          <w:numId w:val="9"/>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The a</w:t>
      </w:r>
      <w:r w:rsidR="003A3A09" w:rsidRPr="008F6FF3">
        <w:rPr>
          <w:rFonts w:ascii="Tahoma" w:eastAsia="Times New Roman" w:hAnsi="Tahoma" w:cs="Tahoma"/>
          <w:color w:val="000000"/>
          <w:sz w:val="24"/>
          <w:szCs w:val="24"/>
          <w:lang w:val="en-US" w:eastAsia="ru-RU"/>
        </w:rPr>
        <w:t xml:space="preserve">ccounts payable and accruals </w:t>
      </w:r>
      <w:r w:rsidR="004F6B3E">
        <w:rPr>
          <w:rFonts w:ascii="Tahoma" w:eastAsia="Times New Roman" w:hAnsi="Tahoma" w:cs="Tahoma"/>
          <w:color w:val="000000"/>
          <w:sz w:val="24"/>
          <w:szCs w:val="24"/>
          <w:lang w:val="en-US" w:eastAsia="ru-RU"/>
        </w:rPr>
        <w:t>de</w:t>
      </w:r>
      <w:r w:rsidR="007378AA">
        <w:rPr>
          <w:rFonts w:ascii="Tahoma" w:eastAsia="Times New Roman" w:hAnsi="Tahoma" w:cs="Tahoma"/>
          <w:color w:val="000000"/>
          <w:sz w:val="24"/>
          <w:szCs w:val="24"/>
          <w:lang w:val="en-US" w:eastAsia="ru-RU"/>
        </w:rPr>
        <w:t>creased</w:t>
      </w:r>
      <w:r w:rsidR="008F6FF3">
        <w:rPr>
          <w:rFonts w:ascii="Tahoma" w:eastAsia="Times New Roman" w:hAnsi="Tahoma" w:cs="Tahoma"/>
          <w:color w:val="000000"/>
          <w:sz w:val="24"/>
          <w:szCs w:val="24"/>
          <w:lang w:val="en-US" w:eastAsia="ru-RU"/>
        </w:rPr>
        <w:t xml:space="preserve"> by </w:t>
      </w:r>
      <w:r w:rsidR="00E52320">
        <w:rPr>
          <w:rFonts w:ascii="Tahoma" w:eastAsia="Times New Roman" w:hAnsi="Tahoma" w:cs="Tahoma"/>
          <w:color w:val="000000"/>
          <w:sz w:val="24"/>
          <w:szCs w:val="24"/>
          <w:lang w:val="en-US" w:eastAsia="ru-RU"/>
        </w:rPr>
        <w:t>4</w:t>
      </w:r>
      <w:r w:rsidR="006605D6" w:rsidRPr="008F6FF3">
        <w:rPr>
          <w:rFonts w:ascii="Tahoma" w:eastAsia="Times New Roman" w:hAnsi="Tahoma" w:cs="Tahoma"/>
          <w:color w:val="000000"/>
          <w:sz w:val="24"/>
          <w:szCs w:val="24"/>
          <w:lang w:val="en-US" w:eastAsia="ru-RU"/>
        </w:rPr>
        <w:t>% to</w:t>
      </w:r>
      <w:r w:rsidR="003A3A09" w:rsidRPr="008F6FF3">
        <w:rPr>
          <w:rFonts w:ascii="Tahoma" w:eastAsia="Times New Roman" w:hAnsi="Tahoma" w:cs="Tahoma"/>
          <w:color w:val="000000"/>
          <w:sz w:val="24"/>
          <w:szCs w:val="24"/>
          <w:lang w:val="en-US" w:eastAsia="ru-RU"/>
        </w:rPr>
        <w:t xml:space="preserve"> </w:t>
      </w:r>
      <w:r w:rsidR="007378AA">
        <w:rPr>
          <w:rFonts w:ascii="Tahoma" w:eastAsia="Times New Roman" w:hAnsi="Tahoma" w:cs="Tahoma"/>
          <w:color w:val="000000"/>
          <w:sz w:val="24"/>
          <w:szCs w:val="24"/>
          <w:lang w:val="en-US" w:eastAsia="ru-RU"/>
        </w:rPr>
        <w:t>2</w:t>
      </w:r>
      <w:r w:rsidR="00E52320">
        <w:rPr>
          <w:rFonts w:ascii="Tahoma" w:eastAsia="Times New Roman" w:hAnsi="Tahoma" w:cs="Tahoma"/>
          <w:color w:val="000000"/>
          <w:sz w:val="24"/>
          <w:szCs w:val="24"/>
          <w:lang w:val="en-US" w:eastAsia="ru-RU"/>
        </w:rPr>
        <w:t>2</w:t>
      </w:r>
      <w:r w:rsidR="008F6FF3">
        <w:rPr>
          <w:rFonts w:ascii="Tahoma" w:eastAsia="Times New Roman" w:hAnsi="Tahoma" w:cs="Tahoma"/>
          <w:color w:val="000000"/>
          <w:sz w:val="24"/>
          <w:szCs w:val="24"/>
          <w:lang w:val="en-US" w:eastAsia="ru-RU"/>
        </w:rPr>
        <w:t>,</w:t>
      </w:r>
      <w:r w:rsidR="00E52320">
        <w:rPr>
          <w:rFonts w:ascii="Tahoma" w:eastAsia="Times New Roman" w:hAnsi="Tahoma" w:cs="Tahoma"/>
          <w:color w:val="000000"/>
          <w:sz w:val="24"/>
          <w:szCs w:val="24"/>
          <w:lang w:val="en-US" w:eastAsia="ru-RU"/>
        </w:rPr>
        <w:t>173</w:t>
      </w:r>
      <w:r w:rsidR="003A3A09" w:rsidRPr="008F6FF3">
        <w:rPr>
          <w:rFonts w:ascii="Tahoma" w:eastAsia="Times New Roman" w:hAnsi="Tahoma" w:cs="Tahoma"/>
          <w:color w:val="000000"/>
          <w:sz w:val="24"/>
          <w:szCs w:val="24"/>
          <w:lang w:val="en-US" w:eastAsia="ru-RU"/>
        </w:rPr>
        <w:t xml:space="preserve"> </w:t>
      </w:r>
      <w:r w:rsidR="002C260F">
        <w:rPr>
          <w:rFonts w:ascii="Tahoma" w:eastAsia="Times New Roman" w:hAnsi="Tahoma" w:cs="Tahoma"/>
          <w:color w:val="000000"/>
          <w:sz w:val="24"/>
          <w:szCs w:val="24"/>
          <w:lang w:val="en-US" w:eastAsia="ru-RU"/>
        </w:rPr>
        <w:t>million</w:t>
      </w:r>
      <w:r w:rsidR="003A3A09" w:rsidRPr="008F6FF3">
        <w:rPr>
          <w:rFonts w:ascii="Tahoma" w:eastAsia="Times New Roman" w:hAnsi="Tahoma" w:cs="Tahoma"/>
          <w:color w:val="000000"/>
          <w:sz w:val="24"/>
          <w:szCs w:val="24"/>
          <w:lang w:val="en-US" w:eastAsia="ru-RU"/>
        </w:rPr>
        <w:t xml:space="preserve"> </w:t>
      </w:r>
      <w:r w:rsidR="001E36C5" w:rsidRPr="008F6FF3">
        <w:rPr>
          <w:rFonts w:ascii="Tahoma" w:eastAsia="Times New Roman" w:hAnsi="Tahoma" w:cs="Tahoma"/>
          <w:color w:val="000000"/>
          <w:sz w:val="24"/>
          <w:szCs w:val="24"/>
          <w:lang w:val="en-US" w:eastAsia="ru-RU"/>
        </w:rPr>
        <w:t>RUB</w:t>
      </w:r>
      <w:r w:rsidR="00595970" w:rsidRPr="008F6FF3">
        <w:rPr>
          <w:rFonts w:ascii="Tahoma" w:eastAsia="Times New Roman" w:hAnsi="Tahoma" w:cs="Tahoma"/>
          <w:color w:val="000000"/>
          <w:sz w:val="24"/>
          <w:szCs w:val="24"/>
          <w:lang w:val="en-US" w:eastAsia="ru-RU"/>
        </w:rPr>
        <w:t xml:space="preserve">. </w:t>
      </w:r>
    </w:p>
    <w:p w:rsidR="00595970" w:rsidRDefault="00595970" w:rsidP="00595970">
      <w:pPr>
        <w:spacing w:after="0" w:line="240" w:lineRule="auto"/>
        <w:jc w:val="both"/>
        <w:rPr>
          <w:rFonts w:ascii="Tahoma" w:eastAsia="Times New Roman" w:hAnsi="Tahoma" w:cs="Tahoma"/>
          <w:sz w:val="24"/>
          <w:szCs w:val="24"/>
          <w:lang w:val="en-US" w:eastAsia="ru-RU"/>
        </w:rPr>
      </w:pPr>
    </w:p>
    <w:p w:rsidR="003A3A09" w:rsidRPr="003A3A09" w:rsidRDefault="003A3A09" w:rsidP="00595970">
      <w:pPr>
        <w:spacing w:after="0" w:line="240" w:lineRule="auto"/>
        <w:jc w:val="both"/>
        <w:rPr>
          <w:rFonts w:ascii="Tahoma" w:eastAsia="Times New Roman" w:hAnsi="Tahoma" w:cs="Tahoma"/>
          <w:b/>
          <w:sz w:val="24"/>
          <w:szCs w:val="24"/>
          <w:lang w:val="en-US" w:eastAsia="ru-RU"/>
        </w:rPr>
      </w:pPr>
      <w:r w:rsidRPr="003A3A09">
        <w:rPr>
          <w:rFonts w:ascii="Tahoma" w:eastAsia="Times New Roman" w:hAnsi="Tahoma" w:cs="Tahoma"/>
          <w:b/>
          <w:sz w:val="24"/>
          <w:szCs w:val="24"/>
          <w:lang w:val="en-US" w:eastAsia="ru-RU"/>
        </w:rPr>
        <w:t>CAPEX</w:t>
      </w:r>
    </w:p>
    <w:p w:rsidR="003A3A09" w:rsidRDefault="003A3A09" w:rsidP="00595970">
      <w:pPr>
        <w:spacing w:after="0" w:line="240" w:lineRule="auto"/>
        <w:jc w:val="both"/>
        <w:rPr>
          <w:rFonts w:ascii="Tahoma" w:eastAsia="Times New Roman" w:hAnsi="Tahoma" w:cs="Tahoma"/>
          <w:sz w:val="24"/>
          <w:szCs w:val="24"/>
          <w:lang w:val="en-US" w:eastAsia="ru-RU"/>
        </w:rPr>
      </w:pPr>
    </w:p>
    <w:p w:rsidR="003A3A09" w:rsidRDefault="003A3A09" w:rsidP="00595970">
      <w:pPr>
        <w:spacing w:after="0" w:line="240" w:lineRule="auto"/>
        <w:jc w:val="both"/>
        <w:rPr>
          <w:rFonts w:ascii="Tahoma" w:eastAsia="Times New Roman" w:hAnsi="Tahoma" w:cs="Tahoma"/>
          <w:sz w:val="24"/>
          <w:szCs w:val="24"/>
          <w:lang w:val="en-US" w:eastAsia="ru-RU"/>
        </w:rPr>
      </w:pPr>
      <w:r w:rsidRPr="00354FC8">
        <w:rPr>
          <w:rFonts w:ascii="Tahoma" w:eastAsia="Times New Roman" w:hAnsi="Tahoma" w:cs="Tahoma"/>
          <w:sz w:val="24"/>
          <w:szCs w:val="24"/>
          <w:lang w:val="en-US" w:eastAsia="ru-RU"/>
        </w:rPr>
        <w:t xml:space="preserve">The amount </w:t>
      </w:r>
      <w:r w:rsidR="008A414D" w:rsidRPr="00354FC8">
        <w:rPr>
          <w:rFonts w:ascii="Tahoma" w:eastAsia="Times New Roman" w:hAnsi="Tahoma" w:cs="Tahoma"/>
          <w:sz w:val="24"/>
          <w:szCs w:val="24"/>
          <w:lang w:val="en-US" w:eastAsia="ru-RU"/>
        </w:rPr>
        <w:t xml:space="preserve">of </w:t>
      </w:r>
      <w:r w:rsidR="00CF7469" w:rsidRPr="00354FC8">
        <w:rPr>
          <w:rFonts w:ascii="Tahoma" w:eastAsia="Times New Roman" w:hAnsi="Tahoma" w:cs="Tahoma"/>
          <w:sz w:val="24"/>
          <w:szCs w:val="24"/>
          <w:lang w:val="en-US" w:eastAsia="ru-RU"/>
        </w:rPr>
        <w:t>capital expenditure</w:t>
      </w:r>
      <w:r w:rsidRPr="00354FC8">
        <w:rPr>
          <w:rFonts w:ascii="Tahoma" w:eastAsia="Times New Roman" w:hAnsi="Tahoma" w:cs="Tahoma"/>
          <w:sz w:val="24"/>
          <w:szCs w:val="24"/>
          <w:lang w:val="en-US" w:eastAsia="ru-RU"/>
        </w:rPr>
        <w:t xml:space="preserve"> in </w:t>
      </w:r>
      <w:r w:rsidR="004F6B3E">
        <w:rPr>
          <w:rFonts w:ascii="Tahoma" w:eastAsia="Times New Roman" w:hAnsi="Tahoma" w:cs="Tahoma"/>
          <w:sz w:val="24"/>
          <w:szCs w:val="24"/>
          <w:lang w:val="en-US" w:eastAsia="ru-RU"/>
        </w:rPr>
        <w:t xml:space="preserve">the </w:t>
      </w:r>
      <w:r w:rsidR="00E52320">
        <w:rPr>
          <w:rFonts w:ascii="Tahoma" w:eastAsia="Times New Roman" w:hAnsi="Tahoma" w:cs="Tahoma"/>
          <w:sz w:val="24"/>
          <w:szCs w:val="24"/>
          <w:lang w:val="en-US" w:eastAsia="ru-RU"/>
        </w:rPr>
        <w:t>9</w:t>
      </w:r>
      <w:r w:rsidR="008E0B85" w:rsidRPr="00354FC8">
        <w:rPr>
          <w:rFonts w:ascii="Tahoma" w:eastAsia="Times New Roman" w:hAnsi="Tahoma" w:cs="Tahoma"/>
          <w:sz w:val="24"/>
          <w:szCs w:val="24"/>
          <w:lang w:val="en-US" w:eastAsia="ru-RU"/>
        </w:rPr>
        <w:t xml:space="preserve"> months of</w:t>
      </w:r>
      <w:r w:rsidR="006605D6" w:rsidRPr="00354FC8">
        <w:rPr>
          <w:rFonts w:ascii="Tahoma" w:eastAsia="Times New Roman" w:hAnsi="Tahoma" w:cs="Tahoma"/>
          <w:sz w:val="24"/>
          <w:szCs w:val="24"/>
          <w:lang w:val="en-US" w:eastAsia="ru-RU"/>
        </w:rPr>
        <w:t xml:space="preserve"> </w:t>
      </w:r>
      <w:r w:rsidRPr="00354FC8">
        <w:rPr>
          <w:rFonts w:ascii="Tahoma" w:eastAsia="Times New Roman" w:hAnsi="Tahoma" w:cs="Tahoma"/>
          <w:sz w:val="24"/>
          <w:szCs w:val="24"/>
          <w:lang w:val="en-US" w:eastAsia="ru-RU"/>
        </w:rPr>
        <w:t>201</w:t>
      </w:r>
      <w:r w:rsidR="004F6B3E">
        <w:rPr>
          <w:rFonts w:ascii="Tahoma" w:eastAsia="Times New Roman" w:hAnsi="Tahoma" w:cs="Tahoma"/>
          <w:sz w:val="24"/>
          <w:szCs w:val="24"/>
          <w:lang w:val="en-US" w:eastAsia="ru-RU"/>
        </w:rPr>
        <w:t>3</w:t>
      </w:r>
      <w:r w:rsidR="006605D6" w:rsidRPr="00354FC8">
        <w:rPr>
          <w:rFonts w:ascii="Tahoma" w:eastAsia="Times New Roman" w:hAnsi="Tahoma" w:cs="Tahoma"/>
          <w:sz w:val="24"/>
          <w:szCs w:val="24"/>
          <w:lang w:val="en-US" w:eastAsia="ru-RU"/>
        </w:rPr>
        <w:t xml:space="preserve"> </w:t>
      </w:r>
      <w:r w:rsidR="007A4B72" w:rsidRPr="00354FC8">
        <w:rPr>
          <w:rFonts w:ascii="Tahoma" w:eastAsia="Times New Roman" w:hAnsi="Tahoma" w:cs="Tahoma"/>
          <w:sz w:val="24"/>
          <w:szCs w:val="24"/>
          <w:lang w:val="en-US" w:eastAsia="ru-RU"/>
        </w:rPr>
        <w:t>was</w:t>
      </w:r>
      <w:r w:rsidR="006605D6" w:rsidRPr="00354FC8">
        <w:rPr>
          <w:rFonts w:ascii="Tahoma" w:eastAsia="Times New Roman" w:hAnsi="Tahoma" w:cs="Tahoma"/>
          <w:sz w:val="24"/>
          <w:szCs w:val="24"/>
          <w:lang w:val="en-US" w:eastAsia="ru-RU"/>
        </w:rPr>
        <w:t xml:space="preserve"> </w:t>
      </w:r>
      <w:r w:rsidR="00E52320">
        <w:rPr>
          <w:rFonts w:ascii="Tahoma" w:eastAsia="Times New Roman" w:hAnsi="Tahoma" w:cs="Tahoma"/>
          <w:sz w:val="24"/>
          <w:szCs w:val="24"/>
          <w:lang w:val="en-US" w:eastAsia="ru-RU"/>
        </w:rPr>
        <w:t>7</w:t>
      </w:r>
      <w:r w:rsidR="007A4B72" w:rsidRPr="00354FC8">
        <w:rPr>
          <w:rFonts w:ascii="Tahoma" w:eastAsia="Times New Roman" w:hAnsi="Tahoma" w:cs="Tahoma"/>
          <w:sz w:val="24"/>
          <w:szCs w:val="24"/>
          <w:lang w:val="en-US" w:eastAsia="ru-RU"/>
        </w:rPr>
        <w:t>,</w:t>
      </w:r>
      <w:r w:rsidR="00E52320">
        <w:rPr>
          <w:rFonts w:ascii="Tahoma" w:eastAsia="Times New Roman" w:hAnsi="Tahoma" w:cs="Tahoma"/>
          <w:sz w:val="24"/>
          <w:szCs w:val="24"/>
          <w:lang w:val="en-US" w:eastAsia="ru-RU"/>
        </w:rPr>
        <w:t>871</w:t>
      </w:r>
      <w:r w:rsidRPr="00354FC8">
        <w:rPr>
          <w:rFonts w:ascii="Tahoma" w:eastAsia="Times New Roman" w:hAnsi="Tahoma" w:cs="Tahoma"/>
          <w:sz w:val="24"/>
          <w:szCs w:val="24"/>
          <w:lang w:val="en-US" w:eastAsia="ru-RU"/>
        </w:rPr>
        <w:t xml:space="preserve"> </w:t>
      </w:r>
      <w:r w:rsidR="002C260F" w:rsidRPr="00354FC8">
        <w:rPr>
          <w:rFonts w:ascii="Tahoma" w:eastAsia="Times New Roman" w:hAnsi="Tahoma" w:cs="Tahoma"/>
          <w:sz w:val="24"/>
          <w:szCs w:val="24"/>
          <w:lang w:val="en-US" w:eastAsia="ru-RU"/>
        </w:rPr>
        <w:t>million</w:t>
      </w:r>
      <w:r w:rsidR="006605D6" w:rsidRPr="00354FC8">
        <w:rPr>
          <w:rFonts w:ascii="Tahoma" w:eastAsia="Times New Roman" w:hAnsi="Tahoma" w:cs="Tahoma"/>
          <w:sz w:val="24"/>
          <w:szCs w:val="24"/>
          <w:lang w:val="en-US" w:eastAsia="ru-RU"/>
        </w:rPr>
        <w:t xml:space="preserve"> </w:t>
      </w:r>
      <w:r w:rsidR="001E36C5" w:rsidRPr="00354FC8">
        <w:rPr>
          <w:rFonts w:ascii="Tahoma" w:eastAsia="Times New Roman" w:hAnsi="Tahoma" w:cs="Tahoma"/>
          <w:sz w:val="24"/>
          <w:szCs w:val="24"/>
          <w:lang w:val="en-US" w:eastAsia="ru-RU"/>
        </w:rPr>
        <w:t>RUB</w:t>
      </w:r>
      <w:r w:rsidR="006605D6" w:rsidRPr="00354FC8">
        <w:rPr>
          <w:rFonts w:ascii="Tahoma" w:eastAsia="Times New Roman" w:hAnsi="Tahoma" w:cs="Tahoma"/>
          <w:sz w:val="24"/>
          <w:szCs w:val="24"/>
          <w:lang w:val="en-US" w:eastAsia="ru-RU"/>
        </w:rPr>
        <w:t xml:space="preserve"> (excluding VAT) </w:t>
      </w:r>
      <w:r w:rsidR="004F6B3E">
        <w:rPr>
          <w:rFonts w:ascii="Tahoma" w:eastAsia="Times New Roman" w:hAnsi="Tahoma" w:cs="Tahoma"/>
          <w:sz w:val="24"/>
          <w:szCs w:val="24"/>
          <w:lang w:val="en-US" w:eastAsia="ru-RU"/>
        </w:rPr>
        <w:t>decreasing 3</w:t>
      </w:r>
      <w:r w:rsidR="00E52320">
        <w:rPr>
          <w:rFonts w:ascii="Tahoma" w:eastAsia="Times New Roman" w:hAnsi="Tahoma" w:cs="Tahoma"/>
          <w:sz w:val="24"/>
          <w:szCs w:val="24"/>
          <w:lang w:val="en-US" w:eastAsia="ru-RU"/>
        </w:rPr>
        <w:t>7</w:t>
      </w:r>
      <w:r w:rsidR="004F6B3E">
        <w:rPr>
          <w:rFonts w:ascii="Tahoma" w:eastAsia="Times New Roman" w:hAnsi="Tahoma" w:cs="Tahoma"/>
          <w:sz w:val="24"/>
          <w:szCs w:val="24"/>
          <w:lang w:val="en-US" w:eastAsia="ru-RU"/>
        </w:rPr>
        <w:t xml:space="preserve">% from the </w:t>
      </w:r>
      <w:r w:rsidR="00354FC8">
        <w:rPr>
          <w:rFonts w:ascii="Tahoma" w:eastAsia="Times New Roman" w:hAnsi="Tahoma" w:cs="Tahoma"/>
          <w:sz w:val="24"/>
          <w:szCs w:val="24"/>
          <w:lang w:val="en-US" w:eastAsia="ru-RU"/>
        </w:rPr>
        <w:t>level</w:t>
      </w:r>
      <w:r w:rsidR="004F6B3E">
        <w:rPr>
          <w:rFonts w:ascii="Tahoma" w:eastAsia="Times New Roman" w:hAnsi="Tahoma" w:cs="Tahoma"/>
          <w:sz w:val="24"/>
          <w:szCs w:val="24"/>
          <w:lang w:val="en-US" w:eastAsia="ru-RU"/>
        </w:rPr>
        <w:t xml:space="preserve"> of the same period last</w:t>
      </w:r>
      <w:r w:rsidR="00354FC8">
        <w:rPr>
          <w:rFonts w:ascii="Tahoma" w:eastAsia="Times New Roman" w:hAnsi="Tahoma" w:cs="Tahoma"/>
          <w:sz w:val="24"/>
          <w:szCs w:val="24"/>
          <w:lang w:val="en-US" w:eastAsia="ru-RU"/>
        </w:rPr>
        <w:t xml:space="preserve"> </w:t>
      </w:r>
      <w:r w:rsidR="006605D6" w:rsidRPr="00354FC8">
        <w:rPr>
          <w:rFonts w:ascii="Tahoma" w:eastAsia="Times New Roman" w:hAnsi="Tahoma" w:cs="Tahoma"/>
          <w:sz w:val="24"/>
          <w:szCs w:val="24"/>
          <w:lang w:val="en-US" w:eastAsia="ru-RU"/>
        </w:rPr>
        <w:t>year.</w:t>
      </w:r>
      <w:r w:rsidR="00681E51" w:rsidRPr="00354FC8">
        <w:rPr>
          <w:rFonts w:ascii="Tahoma" w:eastAsia="Times New Roman" w:hAnsi="Tahoma" w:cs="Tahoma"/>
          <w:sz w:val="24"/>
          <w:szCs w:val="24"/>
          <w:lang w:val="en-US" w:eastAsia="ru-RU"/>
        </w:rPr>
        <w:t xml:space="preserve"> </w:t>
      </w:r>
      <w:r w:rsidR="00E52320">
        <w:rPr>
          <w:rFonts w:ascii="Tahoma" w:eastAsia="Times New Roman" w:hAnsi="Tahoma" w:cs="Tahoma"/>
          <w:sz w:val="24"/>
          <w:szCs w:val="24"/>
          <w:lang w:val="en-US" w:eastAsia="ru-RU"/>
        </w:rPr>
        <w:t xml:space="preserve">The amount of capital expenditure (commissioning of new property, plant and equipment) decreased by 19% to 8,983 </w:t>
      </w:r>
      <w:proofErr w:type="spellStart"/>
      <w:r w:rsidR="00E52320">
        <w:rPr>
          <w:rFonts w:ascii="Tahoma" w:eastAsia="Times New Roman" w:hAnsi="Tahoma" w:cs="Tahoma"/>
          <w:sz w:val="24"/>
          <w:szCs w:val="24"/>
          <w:lang w:val="en-US" w:eastAsia="ru-RU"/>
        </w:rPr>
        <w:t>mln</w:t>
      </w:r>
      <w:proofErr w:type="spellEnd"/>
      <w:r w:rsidR="00E52320">
        <w:rPr>
          <w:rFonts w:ascii="Tahoma" w:eastAsia="Times New Roman" w:hAnsi="Tahoma" w:cs="Tahoma"/>
          <w:sz w:val="24"/>
          <w:szCs w:val="24"/>
          <w:lang w:val="en-US" w:eastAsia="ru-RU"/>
        </w:rPr>
        <w:t xml:space="preserve"> RU</w:t>
      </w:r>
      <w:bookmarkStart w:id="0" w:name="_GoBack"/>
      <w:bookmarkEnd w:id="0"/>
      <w:r w:rsidR="00E52320">
        <w:rPr>
          <w:rFonts w:ascii="Tahoma" w:eastAsia="Times New Roman" w:hAnsi="Tahoma" w:cs="Tahoma"/>
          <w:sz w:val="24"/>
          <w:szCs w:val="24"/>
          <w:lang w:val="en-US" w:eastAsia="ru-RU"/>
        </w:rPr>
        <w:t xml:space="preserve">B. </w:t>
      </w:r>
      <w:r w:rsidRPr="00354FC8">
        <w:rPr>
          <w:rFonts w:ascii="Tahoma" w:eastAsia="Times New Roman" w:hAnsi="Tahoma" w:cs="Tahoma"/>
          <w:sz w:val="24"/>
          <w:szCs w:val="24"/>
          <w:lang w:val="en-US" w:eastAsia="ru-RU"/>
        </w:rPr>
        <w:t xml:space="preserve">The </w:t>
      </w:r>
      <w:r w:rsidR="007267F3">
        <w:rPr>
          <w:rFonts w:ascii="Tahoma" w:eastAsia="Times New Roman" w:hAnsi="Tahoma" w:cs="Tahoma"/>
          <w:sz w:val="24"/>
          <w:szCs w:val="24"/>
          <w:lang w:val="en-US" w:eastAsia="ru-RU"/>
        </w:rPr>
        <w:t xml:space="preserve">reduction in financing is the result of the </w:t>
      </w:r>
      <w:r w:rsidR="007267F3">
        <w:rPr>
          <w:rFonts w:ascii="Tahoma" w:eastAsia="Times New Roman" w:hAnsi="Tahoma" w:cs="Tahoma"/>
          <w:sz w:val="24"/>
          <w:szCs w:val="24"/>
          <w:lang w:val="en-US" w:eastAsia="ru-RU"/>
        </w:rPr>
        <w:lastRenderedPageBreak/>
        <w:t xml:space="preserve">commissioning of several major investment projects </w:t>
      </w:r>
      <w:r w:rsidR="00DD52E8">
        <w:rPr>
          <w:rFonts w:ascii="Tahoma" w:eastAsia="Times New Roman" w:hAnsi="Tahoma" w:cs="Tahoma"/>
          <w:sz w:val="24"/>
          <w:szCs w:val="24"/>
          <w:lang w:val="en-US" w:eastAsia="ru-RU"/>
        </w:rPr>
        <w:t xml:space="preserve">in </w:t>
      </w:r>
      <w:r w:rsidR="007267F3">
        <w:rPr>
          <w:rFonts w:ascii="Tahoma" w:eastAsia="Times New Roman" w:hAnsi="Tahoma" w:cs="Tahoma"/>
          <w:sz w:val="24"/>
          <w:szCs w:val="24"/>
          <w:lang w:val="en-US" w:eastAsia="ru-RU"/>
        </w:rPr>
        <w:t>2012</w:t>
      </w:r>
      <w:r w:rsidR="00E52320">
        <w:rPr>
          <w:rFonts w:ascii="Tahoma" w:eastAsia="Times New Roman" w:hAnsi="Tahoma" w:cs="Tahoma"/>
          <w:sz w:val="24"/>
          <w:szCs w:val="24"/>
          <w:lang w:val="en-US" w:eastAsia="ru-RU"/>
        </w:rPr>
        <w:t>, including the 5</w:t>
      </w:r>
      <w:r w:rsidR="00E52320" w:rsidRPr="00E52320">
        <w:rPr>
          <w:rFonts w:ascii="Tahoma" w:eastAsia="Times New Roman" w:hAnsi="Tahoma" w:cs="Tahoma"/>
          <w:sz w:val="24"/>
          <w:szCs w:val="24"/>
          <w:vertAlign w:val="superscript"/>
          <w:lang w:val="en-US" w:eastAsia="ru-RU"/>
        </w:rPr>
        <w:t>th</w:t>
      </w:r>
      <w:r w:rsidR="00E52320">
        <w:rPr>
          <w:rFonts w:ascii="Tahoma" w:eastAsia="Times New Roman" w:hAnsi="Tahoma" w:cs="Tahoma"/>
          <w:sz w:val="24"/>
          <w:szCs w:val="24"/>
          <w:lang w:val="en-US" w:eastAsia="ru-RU"/>
        </w:rPr>
        <w:t xml:space="preserve"> power unit of </w:t>
      </w:r>
      <w:proofErr w:type="spellStart"/>
      <w:r w:rsidR="00E52320">
        <w:rPr>
          <w:rFonts w:ascii="Tahoma" w:eastAsia="Times New Roman" w:hAnsi="Tahoma" w:cs="Tahoma"/>
          <w:sz w:val="24"/>
          <w:szCs w:val="24"/>
          <w:lang w:val="en-US" w:eastAsia="ru-RU"/>
        </w:rPr>
        <w:t>Yuzhno-Sakhalinsk</w:t>
      </w:r>
      <w:proofErr w:type="spellEnd"/>
      <w:r w:rsidR="00E52320">
        <w:rPr>
          <w:rFonts w:ascii="Tahoma" w:eastAsia="Times New Roman" w:hAnsi="Tahoma" w:cs="Tahoma"/>
          <w:sz w:val="24"/>
          <w:szCs w:val="24"/>
          <w:lang w:val="en-US" w:eastAsia="ru-RU"/>
        </w:rPr>
        <w:t xml:space="preserve"> CHPP-1, and also major grid facilities</w:t>
      </w:r>
      <w:r w:rsidR="007267F3">
        <w:rPr>
          <w:rFonts w:ascii="Tahoma" w:eastAsia="Times New Roman" w:hAnsi="Tahoma" w:cs="Tahoma"/>
          <w:sz w:val="24"/>
          <w:szCs w:val="24"/>
          <w:lang w:val="en-US" w:eastAsia="ru-RU"/>
        </w:rPr>
        <w:t xml:space="preserve"> </w:t>
      </w:r>
      <w:r w:rsidR="00E52320">
        <w:rPr>
          <w:rFonts w:ascii="Tahoma" w:eastAsia="Times New Roman" w:hAnsi="Tahoma" w:cs="Tahoma"/>
          <w:sz w:val="24"/>
          <w:szCs w:val="24"/>
          <w:lang w:val="en-US" w:eastAsia="ru-RU"/>
        </w:rPr>
        <w:t>built in</w:t>
      </w:r>
      <w:r w:rsidR="007267F3">
        <w:rPr>
          <w:rFonts w:ascii="Tahoma" w:eastAsia="Times New Roman" w:hAnsi="Tahoma" w:cs="Tahoma"/>
          <w:sz w:val="24"/>
          <w:szCs w:val="24"/>
          <w:lang w:val="en-US" w:eastAsia="ru-RU"/>
        </w:rPr>
        <w:t xml:space="preserve"> preparation for the </w:t>
      </w:r>
      <w:r w:rsidR="00DD52E8">
        <w:rPr>
          <w:rFonts w:ascii="Tahoma" w:eastAsia="Times New Roman" w:hAnsi="Tahoma" w:cs="Tahoma"/>
          <w:sz w:val="24"/>
          <w:szCs w:val="24"/>
          <w:lang w:val="en-US" w:eastAsia="ru-RU"/>
        </w:rPr>
        <w:t xml:space="preserve">2012 </w:t>
      </w:r>
      <w:r w:rsidR="007267F3">
        <w:rPr>
          <w:rFonts w:ascii="Tahoma" w:eastAsia="Times New Roman" w:hAnsi="Tahoma" w:cs="Tahoma"/>
          <w:sz w:val="24"/>
          <w:szCs w:val="24"/>
          <w:lang w:val="en-US" w:eastAsia="ru-RU"/>
        </w:rPr>
        <w:t xml:space="preserve">APEC Summit. Moreover the reduction in financing of the investment program </w:t>
      </w:r>
      <w:r w:rsidR="00E52320">
        <w:rPr>
          <w:rFonts w:ascii="Tahoma" w:eastAsia="Times New Roman" w:hAnsi="Tahoma" w:cs="Tahoma"/>
          <w:sz w:val="24"/>
          <w:szCs w:val="24"/>
          <w:lang w:val="en-US" w:eastAsia="ru-RU"/>
        </w:rPr>
        <w:t xml:space="preserve">in 9 months of 2013 </w:t>
      </w:r>
      <w:r w:rsidR="007267F3">
        <w:rPr>
          <w:rFonts w:ascii="Tahoma" w:eastAsia="Times New Roman" w:hAnsi="Tahoma" w:cs="Tahoma"/>
          <w:sz w:val="24"/>
          <w:szCs w:val="24"/>
          <w:lang w:val="en-US" w:eastAsia="ru-RU"/>
        </w:rPr>
        <w:t xml:space="preserve">is the result </w:t>
      </w:r>
      <w:r w:rsidR="00E52320">
        <w:rPr>
          <w:rFonts w:ascii="Tahoma" w:eastAsia="Times New Roman" w:hAnsi="Tahoma" w:cs="Tahoma"/>
          <w:sz w:val="24"/>
          <w:szCs w:val="24"/>
          <w:lang w:val="en-US" w:eastAsia="ru-RU"/>
        </w:rPr>
        <w:t xml:space="preserve">of implementation of </w:t>
      </w:r>
      <w:r w:rsidR="006713B9">
        <w:rPr>
          <w:rFonts w:ascii="Tahoma" w:eastAsia="Times New Roman" w:hAnsi="Tahoma" w:cs="Tahoma"/>
          <w:sz w:val="24"/>
          <w:szCs w:val="24"/>
          <w:lang w:val="en-US" w:eastAsia="ru-RU"/>
        </w:rPr>
        <w:t xml:space="preserve">design works of 4 power stations </w:t>
      </w:r>
      <w:r w:rsidR="003E1964">
        <w:rPr>
          <w:rFonts w:ascii="Tahoma" w:eastAsia="Times New Roman" w:hAnsi="Tahoma" w:cs="Tahoma"/>
          <w:sz w:val="24"/>
          <w:szCs w:val="24"/>
          <w:lang w:val="en-US" w:eastAsia="ru-RU"/>
        </w:rPr>
        <w:t>listed in President’s decree No 1564 dated 22.11.2012 and the commencement of infrastructural projects servicing the new plants</w:t>
      </w:r>
      <w:r w:rsidR="007267F3">
        <w:rPr>
          <w:rFonts w:ascii="Tahoma" w:eastAsia="Times New Roman" w:hAnsi="Tahoma" w:cs="Tahoma"/>
          <w:sz w:val="24"/>
          <w:szCs w:val="24"/>
          <w:lang w:val="en-US" w:eastAsia="ru-RU"/>
        </w:rPr>
        <w:t xml:space="preserve">. </w:t>
      </w:r>
    </w:p>
    <w:p w:rsidR="00930C87" w:rsidRDefault="00930C87" w:rsidP="00595970">
      <w:pPr>
        <w:spacing w:after="0" w:line="240" w:lineRule="auto"/>
        <w:jc w:val="both"/>
        <w:rPr>
          <w:rFonts w:ascii="Tahoma" w:eastAsia="Times New Roman" w:hAnsi="Tahoma" w:cs="Tahoma"/>
          <w:sz w:val="24"/>
          <w:szCs w:val="24"/>
          <w:highlight w:val="yellow"/>
          <w:lang w:val="en-US" w:eastAsia="ru-RU"/>
        </w:rPr>
      </w:pPr>
    </w:p>
    <w:p w:rsidR="003E1964" w:rsidRPr="003E1964" w:rsidRDefault="003E1964" w:rsidP="00595970">
      <w:pPr>
        <w:spacing w:after="0" w:line="240" w:lineRule="auto"/>
        <w:jc w:val="both"/>
        <w:rPr>
          <w:rFonts w:ascii="Tahoma" w:eastAsia="Times New Roman" w:hAnsi="Tahoma" w:cs="Tahoma"/>
          <w:b/>
          <w:sz w:val="24"/>
          <w:szCs w:val="24"/>
          <w:lang w:val="en-US" w:eastAsia="ru-RU"/>
        </w:rPr>
      </w:pPr>
      <w:bookmarkStart w:id="1" w:name="_Toc374956031"/>
      <w:r w:rsidRPr="003E1964">
        <w:rPr>
          <w:rFonts w:ascii="Tahoma" w:eastAsia="Times New Roman" w:hAnsi="Tahoma" w:cs="Tahoma"/>
          <w:b/>
          <w:sz w:val="24"/>
          <w:szCs w:val="24"/>
          <w:lang w:val="en-US" w:eastAsia="ru-RU"/>
        </w:rPr>
        <w:t>Subsequent events</w:t>
      </w:r>
      <w:bookmarkEnd w:id="1"/>
    </w:p>
    <w:p w:rsidR="003E1964" w:rsidRDefault="003E1964" w:rsidP="00595970">
      <w:pPr>
        <w:spacing w:after="0" w:line="240" w:lineRule="auto"/>
        <w:jc w:val="both"/>
        <w:rPr>
          <w:rFonts w:ascii="Tahoma" w:eastAsia="Times New Roman" w:hAnsi="Tahoma" w:cs="Tahoma"/>
          <w:sz w:val="24"/>
          <w:szCs w:val="24"/>
          <w:highlight w:val="yellow"/>
          <w:lang w:val="en-US" w:eastAsia="ru-RU"/>
        </w:rPr>
      </w:pPr>
    </w:p>
    <w:p w:rsidR="003E1964" w:rsidRPr="003E1964" w:rsidRDefault="003E1964"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The Federal law N267 dated 30.09.2013 </w:t>
      </w:r>
      <w:r>
        <w:rPr>
          <w:rFonts w:ascii="Tahoma" w:eastAsia="Times New Roman" w:hAnsi="Tahoma" w:cs="Tahoma"/>
          <w:sz w:val="24"/>
          <w:szCs w:val="24"/>
          <w:lang w:val="en-US" w:eastAsia="ru-RU"/>
        </w:rPr>
        <w:t>was published o</w:t>
      </w:r>
      <w:r w:rsidRPr="003E1964">
        <w:rPr>
          <w:rFonts w:ascii="Tahoma" w:eastAsia="Times New Roman" w:hAnsi="Tahoma" w:cs="Tahoma"/>
          <w:sz w:val="24"/>
          <w:szCs w:val="24"/>
          <w:lang w:val="en-US" w:eastAsia="ru-RU"/>
        </w:rPr>
        <w:t xml:space="preserve">n </w:t>
      </w:r>
      <w:r>
        <w:rPr>
          <w:rFonts w:ascii="Tahoma" w:eastAsia="Times New Roman" w:hAnsi="Tahoma" w:cs="Tahoma"/>
          <w:sz w:val="24"/>
          <w:szCs w:val="24"/>
          <w:lang w:val="en-US" w:eastAsia="ru-RU"/>
        </w:rPr>
        <w:t>October 4, 2013</w:t>
      </w:r>
      <w:r>
        <w:rPr>
          <w:rFonts w:ascii="Tahoma" w:eastAsia="Times New Roman" w:hAnsi="Tahoma" w:cs="Tahoma"/>
          <w:sz w:val="24"/>
          <w:szCs w:val="24"/>
          <w:lang w:val="en-US" w:eastAsia="ru-RU"/>
        </w:rPr>
        <w:t xml:space="preserve"> “On the changes to the first and second part of the Taxation Code of the Russian Federation regarding the stimulus to implementing regional investment projects in the territories of the Far-Eastern Federal District and other subjects of the Russian Federation”. In accordance with this bill starting from 2014 companies, which implement investment projects in the Far East will be given opportunity to reduce their income taxes.</w:t>
      </w:r>
    </w:p>
    <w:p w:rsidR="003E1964" w:rsidRDefault="003E1964" w:rsidP="00595970">
      <w:pPr>
        <w:spacing w:after="0" w:line="240" w:lineRule="auto"/>
        <w:jc w:val="both"/>
        <w:rPr>
          <w:rFonts w:ascii="Tahoma" w:eastAsia="Times New Roman" w:hAnsi="Tahoma" w:cs="Tahoma"/>
          <w:sz w:val="24"/>
          <w:szCs w:val="24"/>
          <w:highlight w:val="yellow"/>
          <w:lang w:val="en-US" w:eastAsia="ru-RU"/>
        </w:rPr>
      </w:pPr>
    </w:p>
    <w:p w:rsidR="003E1964" w:rsidRDefault="003E1964" w:rsidP="00595970">
      <w:pPr>
        <w:spacing w:after="0" w:line="240" w:lineRule="auto"/>
        <w:jc w:val="both"/>
        <w:rPr>
          <w:rFonts w:ascii="Tahoma" w:eastAsia="Times New Roman" w:hAnsi="Tahoma" w:cs="Tahoma"/>
          <w:sz w:val="24"/>
          <w:szCs w:val="24"/>
          <w:lang w:val="en-US" w:eastAsia="ru-RU"/>
        </w:rPr>
      </w:pPr>
      <w:r w:rsidRPr="003E1964">
        <w:rPr>
          <w:rFonts w:ascii="Tahoma" w:eastAsia="Times New Roman" w:hAnsi="Tahoma" w:cs="Tahoma"/>
          <w:sz w:val="24"/>
          <w:szCs w:val="24"/>
          <w:lang w:val="en-US" w:eastAsia="ru-RU"/>
        </w:rPr>
        <w:t xml:space="preserve">The changes to the Federal Law “On Electric Power Industry" and article 81 of Federal Law “On Joint Stock Companies” were made on 6 November 2013. According with changes lease of OJSC Federal Grid Company’s grids is prolonged till 1 July 2029 for territorial grid companies in the number of regions of the Russian Federation including the Amur Region and Jewish Autonomous Region where OJSC DRSK operates. </w:t>
      </w:r>
      <w:proofErr w:type="gramStart"/>
      <w:r w:rsidRPr="003E1964">
        <w:rPr>
          <w:rFonts w:ascii="Tahoma" w:eastAsia="Times New Roman" w:hAnsi="Tahoma" w:cs="Tahoma"/>
          <w:sz w:val="24"/>
          <w:szCs w:val="24"/>
          <w:lang w:val="en-US" w:eastAsia="ru-RU"/>
        </w:rPr>
        <w:t>This changes</w:t>
      </w:r>
      <w:proofErr w:type="gramEnd"/>
      <w:r w:rsidRPr="003E1964">
        <w:rPr>
          <w:rFonts w:ascii="Tahoma" w:eastAsia="Times New Roman" w:hAnsi="Tahoma" w:cs="Tahoma"/>
          <w:sz w:val="24"/>
          <w:szCs w:val="24"/>
          <w:lang w:val="en-US" w:eastAsia="ru-RU"/>
        </w:rPr>
        <w:t xml:space="preserve"> to the Federal Law could compensate shortfall in income which has arisen due to withdrawal of some consumers from “the last mile” agreements.</w:t>
      </w:r>
    </w:p>
    <w:p w:rsidR="003E1964" w:rsidRDefault="003E1964" w:rsidP="00595970">
      <w:pPr>
        <w:spacing w:after="0" w:line="240" w:lineRule="auto"/>
        <w:jc w:val="both"/>
        <w:rPr>
          <w:rFonts w:ascii="Tahoma" w:eastAsia="Times New Roman" w:hAnsi="Tahoma" w:cs="Tahoma"/>
          <w:sz w:val="24"/>
          <w:szCs w:val="24"/>
          <w:lang w:val="en-US" w:eastAsia="ru-RU"/>
        </w:rPr>
      </w:pPr>
    </w:p>
    <w:p w:rsidR="003E1964" w:rsidRPr="003E1964" w:rsidRDefault="003E1964"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RAO ES of East has ended tender procedures for coal supply </w:t>
      </w:r>
      <w:r w:rsidR="00020887">
        <w:rPr>
          <w:rFonts w:ascii="Tahoma" w:eastAsia="Times New Roman" w:hAnsi="Tahoma" w:cs="Tahoma"/>
          <w:sz w:val="24"/>
          <w:szCs w:val="24"/>
          <w:lang w:val="en-US" w:eastAsia="ru-RU"/>
        </w:rPr>
        <w:t>to</w:t>
      </w:r>
      <w:r>
        <w:rPr>
          <w:rFonts w:ascii="Tahoma" w:eastAsia="Times New Roman" w:hAnsi="Tahoma" w:cs="Tahoma"/>
          <w:sz w:val="24"/>
          <w:szCs w:val="24"/>
          <w:lang w:val="en-US" w:eastAsia="ru-RU"/>
        </w:rPr>
        <w:t xml:space="preserve"> its power stations in 2014. The tender procedures resulted in a </w:t>
      </w:r>
      <w:r w:rsidR="00020887">
        <w:rPr>
          <w:rFonts w:ascii="Tahoma" w:eastAsia="Times New Roman" w:hAnsi="Tahoma" w:cs="Tahoma"/>
          <w:sz w:val="24"/>
          <w:szCs w:val="24"/>
          <w:lang w:val="en-US" w:eastAsia="ru-RU"/>
        </w:rPr>
        <w:t>significant 3% decrease of prices for the coal to be purchased next year.</w:t>
      </w:r>
    </w:p>
    <w:p w:rsidR="003E1964" w:rsidRPr="003979B6" w:rsidRDefault="003E1964" w:rsidP="00595970">
      <w:pPr>
        <w:spacing w:after="0" w:line="240" w:lineRule="auto"/>
        <w:jc w:val="both"/>
        <w:rPr>
          <w:rFonts w:ascii="Tahoma" w:eastAsia="Times New Roman" w:hAnsi="Tahoma" w:cs="Tahoma"/>
          <w:sz w:val="24"/>
          <w:szCs w:val="24"/>
          <w:highlight w:val="yellow"/>
          <w:lang w:val="en-US" w:eastAsia="ru-RU"/>
        </w:rPr>
      </w:pPr>
    </w:p>
    <w:p w:rsidR="00F0104E" w:rsidRPr="00311B8A" w:rsidRDefault="005E4E26"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The p</w:t>
      </w:r>
      <w:r w:rsidR="00354FC8" w:rsidRPr="00354FC8">
        <w:rPr>
          <w:rFonts w:ascii="Tahoma" w:eastAsia="Times New Roman" w:hAnsi="Tahoma" w:cs="Tahoma"/>
          <w:sz w:val="24"/>
          <w:szCs w:val="24"/>
          <w:lang w:val="en-US" w:eastAsia="ru-RU"/>
        </w:rPr>
        <w:t>ress release and presentation will be posted on the website of JSC</w:t>
      </w:r>
      <w:r w:rsidR="00354FC8">
        <w:rPr>
          <w:rFonts w:ascii="Tahoma" w:eastAsia="Times New Roman" w:hAnsi="Tahoma" w:cs="Tahoma"/>
          <w:sz w:val="24"/>
          <w:szCs w:val="24"/>
          <w:lang w:val="en-US" w:eastAsia="ru-RU"/>
        </w:rPr>
        <w:t xml:space="preserve"> "RAO Energy System of East" at</w:t>
      </w:r>
      <w:r w:rsidR="00F0104E" w:rsidRPr="00311B8A">
        <w:rPr>
          <w:rFonts w:ascii="Tahoma" w:eastAsia="Times New Roman" w:hAnsi="Tahoma" w:cs="Tahoma"/>
          <w:sz w:val="24"/>
          <w:szCs w:val="24"/>
          <w:lang w:val="en-US" w:eastAsia="ru-RU"/>
        </w:rPr>
        <w:t xml:space="preserve">: </w:t>
      </w:r>
      <w:hyperlink r:id="rId13" w:history="1">
        <w:r w:rsidR="00930C87" w:rsidRPr="005168A9">
          <w:rPr>
            <w:rStyle w:val="a3"/>
            <w:rFonts w:ascii="Tahoma" w:eastAsia="Times New Roman" w:hAnsi="Tahoma" w:cs="Tahoma"/>
            <w:sz w:val="24"/>
            <w:szCs w:val="24"/>
            <w:lang w:val="en-US" w:eastAsia="ru-RU"/>
          </w:rPr>
          <w:t>http://www.rao-esv.ru/en/shareholders-and-investors/companys-reports/annual-financial-report/</w:t>
        </w:r>
      </w:hyperlink>
      <w:r w:rsidR="00930C87">
        <w:rPr>
          <w:rFonts w:ascii="Tahoma" w:eastAsia="Times New Roman" w:hAnsi="Tahoma" w:cs="Tahoma"/>
          <w:sz w:val="24"/>
          <w:szCs w:val="24"/>
          <w:lang w:val="en-US" w:eastAsia="ru-RU"/>
        </w:rPr>
        <w:t xml:space="preserve"> </w:t>
      </w:r>
    </w:p>
    <w:p w:rsidR="00962DD7" w:rsidRDefault="00962DD7" w:rsidP="00962DD7">
      <w:pPr>
        <w:spacing w:after="0" w:line="240" w:lineRule="auto"/>
        <w:jc w:val="both"/>
        <w:rPr>
          <w:rFonts w:ascii="Tahoma" w:eastAsia="Times New Roman" w:hAnsi="Tahoma" w:cs="Tahoma"/>
          <w:sz w:val="24"/>
          <w:szCs w:val="24"/>
          <w:lang w:val="en-US" w:eastAsia="ru-RU"/>
        </w:rPr>
      </w:pPr>
    </w:p>
    <w:p w:rsidR="00962DD7" w:rsidRPr="00E31F20" w:rsidRDefault="00962DD7" w:rsidP="00962DD7">
      <w:pPr>
        <w:spacing w:after="0" w:line="240" w:lineRule="auto"/>
        <w:jc w:val="both"/>
        <w:rPr>
          <w:rFonts w:ascii="Tahoma" w:eastAsia="Times New Roman" w:hAnsi="Tahoma" w:cs="Tahoma"/>
          <w:b/>
          <w:sz w:val="24"/>
          <w:szCs w:val="24"/>
          <w:lang w:val="en-US" w:eastAsia="ru-RU"/>
        </w:rPr>
      </w:pPr>
      <w:r w:rsidRPr="00E31F20">
        <w:rPr>
          <w:rFonts w:ascii="Tahoma" w:eastAsia="Times New Roman" w:hAnsi="Tahoma" w:cs="Tahoma"/>
          <w:b/>
          <w:sz w:val="24"/>
          <w:szCs w:val="24"/>
          <w:lang w:val="en-US" w:eastAsia="ru-RU"/>
        </w:rPr>
        <w:t>Note:</w:t>
      </w:r>
    </w:p>
    <w:p w:rsidR="009D2CB6" w:rsidRPr="009D2CB6" w:rsidRDefault="009D2CB6" w:rsidP="009D2CB6">
      <w:pPr>
        <w:spacing w:after="0" w:line="240" w:lineRule="auto"/>
        <w:jc w:val="both"/>
        <w:rPr>
          <w:rFonts w:ascii="Tahoma" w:eastAsia="Times New Roman" w:hAnsi="Tahoma" w:cs="Tahoma"/>
          <w:sz w:val="24"/>
          <w:szCs w:val="24"/>
          <w:lang w:val="en-US" w:eastAsia="ru-RU"/>
        </w:rPr>
      </w:pPr>
      <w:r w:rsidRPr="009D2CB6">
        <w:rPr>
          <w:rFonts w:ascii="Tahoma" w:eastAsia="Times New Roman" w:hAnsi="Tahoma" w:cs="Tahoma"/>
          <w:sz w:val="24"/>
          <w:szCs w:val="24"/>
          <w:lang w:val="en-US" w:eastAsia="ru-RU"/>
        </w:rPr>
        <w:t xml:space="preserve">JSC «RAO Energy System of East» was founded on July </w:t>
      </w:r>
      <w:r w:rsidR="00F93DFB" w:rsidRPr="00F93DFB">
        <w:rPr>
          <w:rFonts w:ascii="Tahoma" w:eastAsia="Times New Roman" w:hAnsi="Tahoma" w:cs="Tahoma"/>
          <w:sz w:val="24"/>
          <w:szCs w:val="24"/>
          <w:lang w:val="en-US" w:eastAsia="ru-RU"/>
        </w:rPr>
        <w:t>0</w:t>
      </w:r>
      <w:r w:rsidRPr="009D2CB6">
        <w:rPr>
          <w:rFonts w:ascii="Tahoma" w:eastAsia="Times New Roman" w:hAnsi="Tahoma" w:cs="Tahoma"/>
          <w:sz w:val="24"/>
          <w:szCs w:val="24"/>
          <w:lang w:val="en-US" w:eastAsia="ru-RU"/>
        </w:rPr>
        <w:t xml:space="preserve">1, 2008, as a result of </w:t>
      </w:r>
      <w:r w:rsidR="00B4091B">
        <w:rPr>
          <w:rFonts w:ascii="Tahoma" w:eastAsia="Times New Roman" w:hAnsi="Tahoma" w:cs="Tahoma"/>
          <w:sz w:val="24"/>
          <w:szCs w:val="24"/>
          <w:lang w:val="en-US" w:eastAsia="ru-RU"/>
        </w:rPr>
        <w:t xml:space="preserve">the </w:t>
      </w:r>
      <w:r w:rsidRPr="009D2CB6">
        <w:rPr>
          <w:rFonts w:ascii="Tahoma" w:eastAsia="Times New Roman" w:hAnsi="Tahoma" w:cs="Tahoma"/>
          <w:sz w:val="24"/>
          <w:szCs w:val="24"/>
          <w:lang w:val="en-US" w:eastAsia="ru-RU"/>
        </w:rPr>
        <w:t>reorganization of JSC “RAO UES of Russia”. The holding includes Russian Far-East energy companies such as: JSC «FEDC», JSC “FEGC”, JSC “FEEC”, JSC AK “Yakutskenergo”, JSC “Magadanenergo”, JSC ”Kamchatskenergo”, JSC “Sakhalinenergo”, JSC "Peredvizhnaya Energetika" (Mobile Energy), as well as a number of non-core companies.</w:t>
      </w:r>
    </w:p>
    <w:p w:rsidR="009D2CB6" w:rsidRPr="009D2CB6" w:rsidRDefault="009D2CB6" w:rsidP="009D2CB6">
      <w:pPr>
        <w:spacing w:after="0" w:line="240" w:lineRule="auto"/>
        <w:jc w:val="both"/>
        <w:rPr>
          <w:rFonts w:ascii="Tahoma" w:eastAsia="Times New Roman" w:hAnsi="Tahoma" w:cs="Tahoma"/>
          <w:sz w:val="24"/>
          <w:szCs w:val="24"/>
          <w:lang w:val="en-US" w:eastAsia="ru-RU"/>
        </w:rPr>
      </w:pPr>
      <w:r w:rsidRPr="009D2CB6">
        <w:rPr>
          <w:rFonts w:ascii="Tahoma" w:eastAsia="Times New Roman" w:hAnsi="Tahoma" w:cs="Tahoma"/>
          <w:sz w:val="24"/>
          <w:szCs w:val="24"/>
          <w:lang w:val="en-US" w:eastAsia="ru-RU"/>
        </w:rPr>
        <w:t xml:space="preserve">The main activity of JSC "RAO Energy System of East" is to manage generating companies in </w:t>
      </w:r>
      <w:r w:rsidR="00EF7C82">
        <w:rPr>
          <w:rFonts w:ascii="Tahoma" w:eastAsia="Times New Roman" w:hAnsi="Tahoma" w:cs="Tahoma"/>
          <w:sz w:val="24"/>
          <w:szCs w:val="24"/>
          <w:lang w:val="en-US" w:eastAsia="ru-RU"/>
        </w:rPr>
        <w:t xml:space="preserve">an </w:t>
      </w:r>
      <w:r w:rsidRPr="009D2CB6">
        <w:rPr>
          <w:rFonts w:ascii="Tahoma" w:eastAsia="Times New Roman" w:hAnsi="Tahoma" w:cs="Tahoma"/>
          <w:sz w:val="24"/>
          <w:szCs w:val="24"/>
          <w:lang w:val="en-US" w:eastAsia="ru-RU"/>
        </w:rPr>
        <w:t xml:space="preserve">efficient and quality manner in order to meet the requirements for electricity and thermal energy of the Far East Federal District and its cross-border regions. </w:t>
      </w:r>
    </w:p>
    <w:p w:rsidR="009D2CB6" w:rsidRPr="009D2CB6" w:rsidRDefault="009D2CB6" w:rsidP="009D2CB6">
      <w:pPr>
        <w:spacing w:after="0" w:line="240" w:lineRule="auto"/>
        <w:jc w:val="both"/>
        <w:rPr>
          <w:rFonts w:ascii="Tahoma" w:eastAsia="Times New Roman" w:hAnsi="Tahoma" w:cs="Tahoma"/>
          <w:sz w:val="24"/>
          <w:szCs w:val="24"/>
          <w:lang w:val="en-US" w:eastAsia="ru-RU"/>
        </w:rPr>
      </w:pPr>
      <w:r w:rsidRPr="009D2CB6">
        <w:rPr>
          <w:rFonts w:ascii="Tahoma" w:eastAsia="Times New Roman" w:hAnsi="Tahoma" w:cs="Tahoma"/>
          <w:sz w:val="24"/>
          <w:szCs w:val="24"/>
          <w:lang w:val="en-US" w:eastAsia="ru-RU"/>
        </w:rPr>
        <w:t>The total installed power capacity of the Far Eastern energy companies under JSC “RAO Energy System of East</w:t>
      </w:r>
      <w:r w:rsidR="00EF7C82">
        <w:rPr>
          <w:rFonts w:ascii="Tahoma" w:eastAsia="Times New Roman" w:hAnsi="Tahoma" w:cs="Tahoma"/>
          <w:sz w:val="24"/>
          <w:szCs w:val="24"/>
          <w:lang w:val="en-US" w:eastAsia="ru-RU"/>
        </w:rPr>
        <w:t>”</w:t>
      </w:r>
      <w:r w:rsidRPr="009D2CB6">
        <w:rPr>
          <w:rFonts w:ascii="Tahoma" w:eastAsia="Times New Roman" w:hAnsi="Tahoma" w:cs="Tahoma"/>
          <w:sz w:val="24"/>
          <w:szCs w:val="24"/>
          <w:lang w:val="en-US" w:eastAsia="ru-RU"/>
        </w:rPr>
        <w:t xml:space="preserve"> is 9,</w:t>
      </w:r>
      <w:r w:rsidR="007267F3">
        <w:rPr>
          <w:rFonts w:ascii="Tahoma" w:eastAsia="Times New Roman" w:hAnsi="Tahoma" w:cs="Tahoma"/>
          <w:sz w:val="24"/>
          <w:szCs w:val="24"/>
          <w:lang w:val="en-US" w:eastAsia="ru-RU"/>
        </w:rPr>
        <w:t>070.5</w:t>
      </w:r>
      <w:r w:rsidRPr="009D2CB6">
        <w:rPr>
          <w:rFonts w:ascii="Tahoma" w:eastAsia="Times New Roman" w:hAnsi="Tahoma" w:cs="Tahoma"/>
          <w:sz w:val="24"/>
          <w:szCs w:val="24"/>
          <w:lang w:val="en-US" w:eastAsia="ru-RU"/>
        </w:rPr>
        <w:t xml:space="preserve"> MW of electrical power and 17,</w:t>
      </w:r>
      <w:r w:rsidR="0028474E" w:rsidRPr="0028474E">
        <w:rPr>
          <w:rFonts w:ascii="Tahoma" w:eastAsia="Times New Roman" w:hAnsi="Tahoma" w:cs="Tahoma"/>
          <w:sz w:val="24"/>
          <w:szCs w:val="24"/>
          <w:lang w:val="en-US" w:eastAsia="ru-RU"/>
        </w:rPr>
        <w:t>9</w:t>
      </w:r>
      <w:r w:rsidR="007267F3">
        <w:rPr>
          <w:rFonts w:ascii="Tahoma" w:eastAsia="Times New Roman" w:hAnsi="Tahoma" w:cs="Tahoma"/>
          <w:sz w:val="24"/>
          <w:szCs w:val="24"/>
          <w:lang w:val="en-US" w:eastAsia="ru-RU"/>
        </w:rPr>
        <w:t>11</w:t>
      </w:r>
      <w:r w:rsidRPr="009D2CB6">
        <w:rPr>
          <w:rFonts w:ascii="Tahoma" w:eastAsia="Times New Roman" w:hAnsi="Tahoma" w:cs="Tahoma"/>
          <w:sz w:val="24"/>
          <w:szCs w:val="24"/>
          <w:lang w:val="en-US" w:eastAsia="ru-RU"/>
        </w:rPr>
        <w:t xml:space="preserve"> Gcal of thermal power. The length of the power grid of all voltage classes is more than 96 thousand km.</w:t>
      </w:r>
    </w:p>
    <w:p w:rsidR="00962DD7" w:rsidRPr="00595970" w:rsidRDefault="009D2CB6" w:rsidP="00962DD7">
      <w:pPr>
        <w:spacing w:after="0" w:line="240" w:lineRule="auto"/>
        <w:jc w:val="both"/>
        <w:rPr>
          <w:rFonts w:ascii="Tahoma" w:eastAsia="Times New Roman" w:hAnsi="Tahoma" w:cs="Tahoma"/>
          <w:sz w:val="24"/>
          <w:szCs w:val="24"/>
          <w:lang w:val="en-US" w:eastAsia="ru-RU"/>
        </w:rPr>
      </w:pPr>
      <w:r w:rsidRPr="009D2CB6">
        <w:rPr>
          <w:rFonts w:ascii="Tahoma" w:eastAsia="Times New Roman" w:hAnsi="Tahoma" w:cs="Tahoma"/>
          <w:sz w:val="24"/>
          <w:szCs w:val="24"/>
          <w:lang w:val="en-US" w:eastAsia="ru-RU"/>
        </w:rPr>
        <w:t>The majority shareholder is JSC “RusHydro”.</w:t>
      </w:r>
    </w:p>
    <w:p w:rsidR="0078621C" w:rsidRDefault="0078621C"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For more information call:</w:t>
      </w:r>
    </w:p>
    <w:p w:rsidR="0078621C" w:rsidRDefault="0078621C" w:rsidP="00595970">
      <w:pPr>
        <w:spacing w:after="0" w:line="240" w:lineRule="auto"/>
        <w:jc w:val="both"/>
        <w:rPr>
          <w:rFonts w:ascii="Tahoma" w:eastAsia="Times New Roman" w:hAnsi="Tahoma" w:cs="Tahoma"/>
          <w:sz w:val="24"/>
          <w:szCs w:val="24"/>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621C" w:rsidRPr="00E0239E" w:rsidTr="000A66DA">
        <w:tc>
          <w:tcPr>
            <w:tcW w:w="4785" w:type="dxa"/>
          </w:tcPr>
          <w:p w:rsidR="0078621C" w:rsidRPr="00E0239E" w:rsidRDefault="0078621C" w:rsidP="000A66DA">
            <w:pPr>
              <w:jc w:val="both"/>
              <w:rPr>
                <w:rFonts w:ascii="Tahoma" w:eastAsia="Times New Roman" w:hAnsi="Tahoma" w:cs="Tahoma"/>
                <w:b/>
                <w:sz w:val="24"/>
                <w:szCs w:val="24"/>
                <w:lang w:val="en-US" w:eastAsia="ru-RU"/>
              </w:rPr>
            </w:pPr>
            <w:r w:rsidRPr="00E0239E">
              <w:rPr>
                <w:rFonts w:ascii="Tahoma" w:eastAsia="Times New Roman" w:hAnsi="Tahoma" w:cs="Tahoma"/>
                <w:b/>
                <w:sz w:val="24"/>
                <w:szCs w:val="24"/>
                <w:lang w:val="en-US" w:eastAsia="ru-RU"/>
              </w:rPr>
              <w:lastRenderedPageBreak/>
              <w:t>IR</w:t>
            </w:r>
          </w:p>
        </w:tc>
        <w:tc>
          <w:tcPr>
            <w:tcW w:w="4786" w:type="dxa"/>
          </w:tcPr>
          <w:p w:rsidR="0078621C" w:rsidRPr="00E0239E" w:rsidRDefault="0078621C" w:rsidP="000A66DA">
            <w:pPr>
              <w:jc w:val="both"/>
              <w:rPr>
                <w:rFonts w:ascii="Tahoma" w:eastAsia="Times New Roman" w:hAnsi="Tahoma" w:cs="Tahoma"/>
                <w:b/>
                <w:sz w:val="24"/>
                <w:szCs w:val="24"/>
                <w:lang w:val="en-US" w:eastAsia="ru-RU"/>
              </w:rPr>
            </w:pPr>
          </w:p>
        </w:tc>
      </w:tr>
      <w:tr w:rsidR="0078621C" w:rsidTr="000A66DA">
        <w:tc>
          <w:tcPr>
            <w:tcW w:w="4785" w:type="dxa"/>
          </w:tcPr>
          <w:p w:rsidR="0078621C" w:rsidRPr="0078621C" w:rsidRDefault="0078621C" w:rsidP="000A66DA">
            <w:pPr>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Max Kochetkov</w:t>
            </w:r>
          </w:p>
        </w:tc>
        <w:tc>
          <w:tcPr>
            <w:tcW w:w="4786" w:type="dxa"/>
          </w:tcPr>
          <w:p w:rsidR="0078621C" w:rsidRPr="0078621C" w:rsidRDefault="0078621C" w:rsidP="000A66DA">
            <w:pPr>
              <w:jc w:val="both"/>
              <w:rPr>
                <w:rFonts w:ascii="Tahoma" w:eastAsia="Times New Roman" w:hAnsi="Tahoma" w:cs="Tahoma"/>
                <w:sz w:val="24"/>
                <w:szCs w:val="24"/>
                <w:lang w:val="en-US" w:eastAsia="ru-RU"/>
              </w:rPr>
            </w:pPr>
          </w:p>
        </w:tc>
      </w:tr>
      <w:tr w:rsidR="0078621C" w:rsidTr="000A66DA">
        <w:tc>
          <w:tcPr>
            <w:tcW w:w="4785" w:type="dxa"/>
          </w:tcPr>
          <w:p w:rsidR="0078621C" w:rsidRDefault="0078621C" w:rsidP="0078621C">
            <w:pPr>
              <w:jc w:val="both"/>
              <w:rPr>
                <w:rFonts w:ascii="Tahoma" w:eastAsia="Times New Roman" w:hAnsi="Tahoma" w:cs="Tahoma"/>
                <w:sz w:val="24"/>
                <w:szCs w:val="24"/>
                <w:lang w:eastAsia="ru-RU"/>
              </w:rPr>
            </w:pPr>
            <w:r w:rsidRPr="00E0239E">
              <w:rPr>
                <w:rFonts w:ascii="Tahoma" w:eastAsia="Times New Roman" w:hAnsi="Tahoma" w:cs="Tahoma"/>
                <w:sz w:val="24"/>
                <w:szCs w:val="24"/>
                <w:lang w:eastAsia="ru-RU"/>
              </w:rPr>
              <w:t xml:space="preserve">+7(495) 287-67-03 </w:t>
            </w:r>
            <w:r>
              <w:rPr>
                <w:rFonts w:ascii="Tahoma" w:eastAsia="Times New Roman" w:hAnsi="Tahoma" w:cs="Tahoma"/>
                <w:sz w:val="24"/>
                <w:szCs w:val="24"/>
                <w:lang w:val="en-US" w:eastAsia="ru-RU"/>
              </w:rPr>
              <w:t>ext</w:t>
            </w:r>
            <w:r w:rsidRPr="00E0239E">
              <w:rPr>
                <w:rFonts w:ascii="Tahoma" w:eastAsia="Times New Roman" w:hAnsi="Tahoma" w:cs="Tahoma"/>
                <w:sz w:val="24"/>
                <w:szCs w:val="24"/>
                <w:lang w:eastAsia="ru-RU"/>
              </w:rPr>
              <w:t>. 6062</w:t>
            </w:r>
          </w:p>
        </w:tc>
        <w:tc>
          <w:tcPr>
            <w:tcW w:w="4786" w:type="dxa"/>
          </w:tcPr>
          <w:p w:rsidR="0078621C" w:rsidRDefault="0078621C" w:rsidP="000A66DA">
            <w:pPr>
              <w:jc w:val="both"/>
              <w:rPr>
                <w:rFonts w:ascii="Tahoma" w:eastAsia="Times New Roman" w:hAnsi="Tahoma" w:cs="Tahoma"/>
                <w:sz w:val="24"/>
                <w:szCs w:val="24"/>
                <w:lang w:eastAsia="ru-RU"/>
              </w:rPr>
            </w:pPr>
          </w:p>
        </w:tc>
      </w:tr>
      <w:tr w:rsidR="0078621C" w:rsidRPr="00020887" w:rsidTr="000A66DA">
        <w:tc>
          <w:tcPr>
            <w:tcW w:w="4785" w:type="dxa"/>
          </w:tcPr>
          <w:p w:rsidR="0078621C" w:rsidRPr="00E0239E" w:rsidRDefault="0078621C" w:rsidP="000A66DA">
            <w:pPr>
              <w:jc w:val="both"/>
              <w:rPr>
                <w:rFonts w:ascii="Tahoma" w:eastAsia="Times New Roman" w:hAnsi="Tahoma" w:cs="Tahoma"/>
                <w:sz w:val="24"/>
                <w:szCs w:val="24"/>
                <w:lang w:val="en-US" w:eastAsia="ru-RU"/>
              </w:rPr>
            </w:pPr>
            <w:r w:rsidRPr="00E0239E">
              <w:rPr>
                <w:rFonts w:ascii="Tahoma" w:eastAsia="Times New Roman" w:hAnsi="Tahoma" w:cs="Tahoma"/>
                <w:sz w:val="24"/>
                <w:szCs w:val="24"/>
                <w:lang w:val="en-US" w:eastAsia="ru-RU"/>
              </w:rPr>
              <w:t>E-mail: kochetkov-mm@rao-esv.ru</w:t>
            </w:r>
          </w:p>
        </w:tc>
        <w:tc>
          <w:tcPr>
            <w:tcW w:w="4786" w:type="dxa"/>
          </w:tcPr>
          <w:p w:rsidR="0078621C" w:rsidRPr="00E0239E" w:rsidRDefault="0078621C" w:rsidP="000A66DA">
            <w:pPr>
              <w:jc w:val="both"/>
              <w:rPr>
                <w:rFonts w:ascii="Tahoma" w:eastAsia="Times New Roman" w:hAnsi="Tahoma" w:cs="Tahoma"/>
                <w:sz w:val="24"/>
                <w:szCs w:val="24"/>
                <w:lang w:val="en-US" w:eastAsia="ru-RU"/>
              </w:rPr>
            </w:pPr>
          </w:p>
        </w:tc>
      </w:tr>
    </w:tbl>
    <w:p w:rsidR="0078621C" w:rsidRDefault="0078621C" w:rsidP="00595970">
      <w:pPr>
        <w:spacing w:after="0" w:line="240" w:lineRule="auto"/>
        <w:jc w:val="both"/>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i/>
          <w:iCs/>
          <w:color w:val="999999"/>
          <w:sz w:val="24"/>
          <w:szCs w:val="24"/>
          <w:lang w:val="en-US" w:eastAsia="ru-RU"/>
        </w:rPr>
        <w:t xml:space="preserve">The information in this press release may contain projections or other forward-looking statements regarding future events or the future financial performance of </w:t>
      </w:r>
      <w:r w:rsidR="0078621C" w:rsidRPr="0078621C">
        <w:rPr>
          <w:rFonts w:ascii="Tahoma" w:eastAsia="Times New Roman" w:hAnsi="Tahoma" w:cs="Tahoma"/>
          <w:i/>
          <w:iCs/>
          <w:color w:val="999999"/>
          <w:sz w:val="24"/>
          <w:szCs w:val="24"/>
          <w:lang w:val="en-US" w:eastAsia="ru-RU"/>
        </w:rPr>
        <w:t>RAO Energy System of East</w:t>
      </w:r>
      <w:r w:rsidRPr="00595970">
        <w:rPr>
          <w:rFonts w:ascii="Tahoma" w:eastAsia="Times New Roman" w:hAnsi="Tahoma" w:cs="Tahoma"/>
          <w:i/>
          <w:iCs/>
          <w:color w:val="999999"/>
          <w:sz w:val="24"/>
          <w:szCs w:val="24"/>
          <w:lang w:val="en-US" w:eastAsia="ru-RU"/>
        </w:rPr>
        <w:t xml:space="preserve">. You can identify forward looking statements by terms such as "expect," "believe," "anticipate," "estimate," "intend," "will," "could," "may" or "might," the negative of such terms or other similar expressions. We wish to caution you that these statements are only predictions and that actual events or results may differ materially from these statements. We do not intend to update these statements to reflect events and circumstances occurring after the date hereof or to reflect the occurrence of unanticipated events. Many factors could cause the actual results to differ materially from those contained in our projections or forward-looking statements, including, among others, general economic conditions, our competitive environment, risks associated with operating in Russia, rapid technological and market change in our industries, as well as many other risks specifically related to </w:t>
      </w:r>
      <w:r w:rsidR="00050BCC">
        <w:rPr>
          <w:rFonts w:ascii="Tahoma" w:eastAsia="Times New Roman" w:hAnsi="Tahoma" w:cs="Tahoma"/>
          <w:i/>
          <w:iCs/>
          <w:color w:val="999999"/>
          <w:sz w:val="24"/>
          <w:szCs w:val="24"/>
          <w:lang w:val="en-US" w:eastAsia="ru-RU"/>
        </w:rPr>
        <w:t>RAO Energy System</w:t>
      </w:r>
      <w:r w:rsidR="0078621C" w:rsidRPr="0078621C">
        <w:rPr>
          <w:rFonts w:ascii="Tahoma" w:eastAsia="Times New Roman" w:hAnsi="Tahoma" w:cs="Tahoma"/>
          <w:i/>
          <w:iCs/>
          <w:color w:val="999999"/>
          <w:sz w:val="24"/>
          <w:szCs w:val="24"/>
          <w:lang w:val="en-US" w:eastAsia="ru-RU"/>
        </w:rPr>
        <w:t xml:space="preserve"> of East</w:t>
      </w:r>
      <w:r w:rsidRPr="00595970">
        <w:rPr>
          <w:rFonts w:ascii="Tahoma" w:eastAsia="Times New Roman" w:hAnsi="Tahoma" w:cs="Tahoma"/>
          <w:i/>
          <w:iCs/>
          <w:color w:val="999999"/>
          <w:sz w:val="24"/>
          <w:szCs w:val="24"/>
          <w:lang w:val="en-US" w:eastAsia="ru-RU"/>
        </w:rPr>
        <w:t xml:space="preserve"> and its operations.</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Pr="00595970" w:rsidRDefault="006713B9" w:rsidP="00595970">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pict>
          <v:rect id="_x0000_i1025" style="width:154.35pt;height:.75pt" o:hrpct="330" o:hrstd="t" o:hr="t" fillcolor="#a0a0a0" stroked="f"/>
        </w:pict>
      </w:r>
    </w:p>
    <w:sectPr w:rsidR="00595970" w:rsidRPr="00595970" w:rsidSect="00610E2E">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E7" w:rsidRDefault="00D674E7" w:rsidP="00FD0425">
      <w:pPr>
        <w:spacing w:after="0" w:line="240" w:lineRule="auto"/>
      </w:pPr>
      <w:r>
        <w:separator/>
      </w:r>
    </w:p>
  </w:endnote>
  <w:endnote w:type="continuationSeparator" w:id="0">
    <w:p w:rsidR="00D674E7" w:rsidRDefault="00D674E7" w:rsidP="00FD0425">
      <w:pPr>
        <w:spacing w:after="0" w:line="240" w:lineRule="auto"/>
      </w:pPr>
      <w:r>
        <w:continuationSeparator/>
      </w:r>
    </w:p>
  </w:endnote>
  <w:endnote w:type="continuationNotice" w:id="1">
    <w:p w:rsidR="00D674E7" w:rsidRDefault="00D67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B9" w:rsidRDefault="006713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E7" w:rsidRDefault="00D674E7" w:rsidP="00FD0425">
      <w:pPr>
        <w:spacing w:after="0" w:line="240" w:lineRule="auto"/>
      </w:pPr>
      <w:r>
        <w:separator/>
      </w:r>
    </w:p>
  </w:footnote>
  <w:footnote w:type="continuationSeparator" w:id="0">
    <w:p w:rsidR="00D674E7" w:rsidRDefault="00D674E7" w:rsidP="00FD0425">
      <w:pPr>
        <w:spacing w:after="0" w:line="240" w:lineRule="auto"/>
      </w:pPr>
      <w:r>
        <w:continuationSeparator/>
      </w:r>
    </w:p>
  </w:footnote>
  <w:footnote w:type="continuationNotice" w:id="1">
    <w:p w:rsidR="00D674E7" w:rsidRDefault="00D674E7">
      <w:pPr>
        <w:spacing w:after="0" w:line="240" w:lineRule="auto"/>
      </w:pPr>
    </w:p>
  </w:footnote>
  <w:footnote w:id="2">
    <w:p w:rsidR="006713B9" w:rsidRPr="00BF221D" w:rsidRDefault="006713B9" w:rsidP="006713B9">
      <w:pPr>
        <w:pStyle w:val="ad"/>
        <w:rPr>
          <w:lang w:val="en-US"/>
        </w:rPr>
      </w:pPr>
      <w:r>
        <w:rPr>
          <w:rStyle w:val="af"/>
        </w:rPr>
        <w:footnoteRef/>
      </w:r>
      <w:r w:rsidRPr="00BF221D">
        <w:rPr>
          <w:lang w:val="en-US"/>
        </w:rPr>
        <w:t xml:space="preserve"> </w:t>
      </w:r>
      <w:r>
        <w:rPr>
          <w:lang w:val="en-US"/>
        </w:rPr>
        <w:t>Operating</w:t>
      </w:r>
      <w:r w:rsidRPr="00BF221D">
        <w:rPr>
          <w:lang w:val="en-US"/>
        </w:rPr>
        <w:t xml:space="preserve"> </w:t>
      </w:r>
      <w:r>
        <w:rPr>
          <w:lang w:val="en-US"/>
        </w:rPr>
        <w:t>profit</w:t>
      </w:r>
      <w:r w:rsidRPr="00BF221D">
        <w:rPr>
          <w:lang w:val="en-US"/>
        </w:rPr>
        <w:t xml:space="preserve">, </w:t>
      </w:r>
      <w:r>
        <w:rPr>
          <w:lang w:val="en-US"/>
        </w:rPr>
        <w:t>Losses</w:t>
      </w:r>
      <w:r w:rsidRPr="00BF221D">
        <w:rPr>
          <w:lang w:val="en-US"/>
        </w:rPr>
        <w:t xml:space="preserve"> </w:t>
      </w:r>
      <w:r>
        <w:rPr>
          <w:lang w:val="en-US"/>
        </w:rPr>
        <w:t>before</w:t>
      </w:r>
      <w:r w:rsidRPr="00BF221D">
        <w:rPr>
          <w:lang w:val="en-US"/>
        </w:rPr>
        <w:t xml:space="preserve"> </w:t>
      </w:r>
      <w:r>
        <w:rPr>
          <w:lang w:val="en-US"/>
        </w:rPr>
        <w:t>income</w:t>
      </w:r>
      <w:r w:rsidRPr="00BF221D">
        <w:rPr>
          <w:lang w:val="en-US"/>
        </w:rPr>
        <w:t xml:space="preserve"> </w:t>
      </w:r>
      <w:r>
        <w:rPr>
          <w:lang w:val="en-US"/>
        </w:rPr>
        <w:t>tax</w:t>
      </w:r>
      <w:r w:rsidRPr="00BF221D">
        <w:rPr>
          <w:lang w:val="en-US"/>
        </w:rPr>
        <w:t xml:space="preserve">, </w:t>
      </w:r>
      <w:r>
        <w:rPr>
          <w:lang w:val="en-US"/>
        </w:rPr>
        <w:t>and</w:t>
      </w:r>
      <w:r w:rsidRPr="00BF221D">
        <w:rPr>
          <w:lang w:val="en-US"/>
        </w:rPr>
        <w:t xml:space="preserve"> </w:t>
      </w:r>
      <w:r>
        <w:rPr>
          <w:lang w:val="en-US"/>
        </w:rPr>
        <w:t>Loss</w:t>
      </w:r>
      <w:r w:rsidRPr="00BF221D">
        <w:rPr>
          <w:lang w:val="en-US"/>
        </w:rPr>
        <w:t xml:space="preserve"> </w:t>
      </w:r>
      <w:r>
        <w:rPr>
          <w:lang w:val="en-US"/>
        </w:rPr>
        <w:t>for</w:t>
      </w:r>
      <w:r w:rsidRPr="00BF221D">
        <w:rPr>
          <w:lang w:val="en-US"/>
        </w:rPr>
        <w:t xml:space="preserve"> </w:t>
      </w:r>
      <w:r>
        <w:rPr>
          <w:lang w:val="en-US"/>
        </w:rPr>
        <w:t>the</w:t>
      </w:r>
      <w:r w:rsidRPr="00BF221D">
        <w:rPr>
          <w:lang w:val="en-US"/>
        </w:rPr>
        <w:t xml:space="preserve"> </w:t>
      </w:r>
      <w:r>
        <w:rPr>
          <w:lang w:val="en-US"/>
        </w:rPr>
        <w:t>period</w:t>
      </w:r>
      <w:r w:rsidRPr="00BF221D">
        <w:rPr>
          <w:lang w:val="en-US"/>
        </w:rPr>
        <w:t xml:space="preserve"> </w:t>
      </w:r>
      <w:r>
        <w:rPr>
          <w:lang w:val="en-US"/>
        </w:rPr>
        <w:t>for</w:t>
      </w:r>
      <w:r w:rsidRPr="00BF221D">
        <w:rPr>
          <w:lang w:val="en-US"/>
        </w:rPr>
        <w:t xml:space="preserve"> </w:t>
      </w:r>
      <w:r>
        <w:rPr>
          <w:lang w:val="en-US"/>
        </w:rPr>
        <w:t>the</w:t>
      </w:r>
      <w:r w:rsidRPr="00BF221D">
        <w:rPr>
          <w:lang w:val="en-US"/>
        </w:rPr>
        <w:t xml:space="preserve"> 9 </w:t>
      </w:r>
      <w:r>
        <w:rPr>
          <w:lang w:val="en-US"/>
        </w:rPr>
        <w:t>months</w:t>
      </w:r>
      <w:r w:rsidRPr="00BF221D">
        <w:rPr>
          <w:lang w:val="en-US"/>
        </w:rPr>
        <w:t xml:space="preserve"> </w:t>
      </w:r>
      <w:r>
        <w:rPr>
          <w:lang w:val="en-US"/>
        </w:rPr>
        <w:t>ended</w:t>
      </w:r>
      <w:r w:rsidRPr="00BF221D">
        <w:rPr>
          <w:lang w:val="en-US"/>
        </w:rPr>
        <w:t xml:space="preserve"> </w:t>
      </w:r>
      <w:r>
        <w:rPr>
          <w:lang w:val="en-US"/>
        </w:rPr>
        <w:t>June</w:t>
      </w:r>
      <w:r w:rsidRPr="00BF221D">
        <w:rPr>
          <w:lang w:val="en-US"/>
        </w:rPr>
        <w:t xml:space="preserve"> 30, 201</w:t>
      </w:r>
      <w:r>
        <w:rPr>
          <w:lang w:val="en-US"/>
        </w:rPr>
        <w:t>3</w:t>
      </w:r>
      <w:r w:rsidRPr="00BF221D">
        <w:rPr>
          <w:lang w:val="en-US"/>
        </w:rPr>
        <w:t xml:space="preserve"> </w:t>
      </w:r>
      <w:r>
        <w:rPr>
          <w:lang w:val="en-US"/>
        </w:rPr>
        <w:t>are</w:t>
      </w:r>
      <w:r w:rsidRPr="00BF221D">
        <w:rPr>
          <w:lang w:val="en-US"/>
        </w:rPr>
        <w:t xml:space="preserve"> </w:t>
      </w:r>
      <w:r>
        <w:rPr>
          <w:lang w:val="en-US"/>
        </w:rPr>
        <w:t>adjusted</w:t>
      </w:r>
      <w:r w:rsidRPr="00BF221D">
        <w:rPr>
          <w:lang w:val="en-US"/>
        </w:rPr>
        <w:t xml:space="preserve"> </w:t>
      </w:r>
      <w:r w:rsidRPr="008C3855">
        <w:rPr>
          <w:lang w:val="en-US"/>
        </w:rPr>
        <w:t>for</w:t>
      </w:r>
      <w:r w:rsidRPr="00BF221D">
        <w:rPr>
          <w:lang w:val="en-US"/>
        </w:rPr>
        <w:t xml:space="preserve"> </w:t>
      </w:r>
      <w:r w:rsidRPr="008C3855">
        <w:rPr>
          <w:lang w:val="en-US"/>
        </w:rPr>
        <w:t>the</w:t>
      </w:r>
      <w:r w:rsidRPr="00BF221D">
        <w:rPr>
          <w:lang w:val="en-US"/>
        </w:rPr>
        <w:t xml:space="preserve"> </w:t>
      </w:r>
      <w:r w:rsidRPr="008C3855">
        <w:rPr>
          <w:lang w:val="en-US"/>
        </w:rPr>
        <w:t>effects</w:t>
      </w:r>
      <w:r w:rsidRPr="00BF221D">
        <w:rPr>
          <w:lang w:val="en-US"/>
        </w:rPr>
        <w:t xml:space="preserve"> </w:t>
      </w:r>
      <w:r w:rsidRPr="008C3855">
        <w:rPr>
          <w:lang w:val="en-US"/>
        </w:rPr>
        <w:t>of</w:t>
      </w:r>
      <w:r w:rsidRPr="00BF221D">
        <w:rPr>
          <w:lang w:val="en-US"/>
        </w:rPr>
        <w:t xml:space="preserve"> </w:t>
      </w:r>
      <w:r w:rsidRPr="008C3855">
        <w:rPr>
          <w:lang w:val="en-US"/>
        </w:rPr>
        <w:t>impairment</w:t>
      </w:r>
      <w:r w:rsidRPr="00BF221D">
        <w:rPr>
          <w:lang w:val="en-US"/>
        </w:rPr>
        <w:t xml:space="preserve"> </w:t>
      </w:r>
      <w:r w:rsidRPr="008C3855">
        <w:rPr>
          <w:lang w:val="en-US"/>
        </w:rPr>
        <w:t>of</w:t>
      </w:r>
      <w:r w:rsidRPr="00BF221D">
        <w:rPr>
          <w:lang w:val="en-US"/>
        </w:rPr>
        <w:t xml:space="preserve"> </w:t>
      </w:r>
      <w:r w:rsidRPr="008C3855">
        <w:rPr>
          <w:lang w:val="en-US"/>
        </w:rPr>
        <w:t>the</w:t>
      </w:r>
      <w:r w:rsidRPr="00BF221D">
        <w:rPr>
          <w:lang w:val="en-US"/>
        </w:rPr>
        <w:t xml:space="preserve"> </w:t>
      </w:r>
      <w:r w:rsidRPr="008C3855">
        <w:rPr>
          <w:lang w:val="en-US"/>
        </w:rPr>
        <w:t>Group</w:t>
      </w:r>
      <w:r w:rsidRPr="00BF221D">
        <w:rPr>
          <w:lang w:val="en-US"/>
        </w:rPr>
        <w:t>'</w:t>
      </w:r>
      <w:r w:rsidRPr="008C3855">
        <w:rPr>
          <w:lang w:val="en-US"/>
        </w:rPr>
        <w:t>s</w:t>
      </w:r>
      <w:r w:rsidRPr="00BF221D">
        <w:rPr>
          <w:lang w:val="en-US"/>
        </w:rPr>
        <w:t xml:space="preserve"> </w:t>
      </w:r>
      <w:r w:rsidRPr="008C3855">
        <w:rPr>
          <w:lang w:val="en-US"/>
        </w:rPr>
        <w:t>property</w:t>
      </w:r>
      <w:r w:rsidRPr="00BF221D">
        <w:rPr>
          <w:lang w:val="en-US"/>
        </w:rPr>
        <w:t xml:space="preserve">, </w:t>
      </w:r>
      <w:r w:rsidRPr="008C3855">
        <w:rPr>
          <w:lang w:val="en-US"/>
        </w:rPr>
        <w:t>plant</w:t>
      </w:r>
      <w:r w:rsidRPr="00BF221D">
        <w:rPr>
          <w:lang w:val="en-US"/>
        </w:rPr>
        <w:t xml:space="preserve"> </w:t>
      </w:r>
      <w:r w:rsidRPr="008C3855">
        <w:rPr>
          <w:lang w:val="en-US"/>
        </w:rPr>
        <w:t>and</w:t>
      </w:r>
      <w:r w:rsidRPr="00BF221D">
        <w:rPr>
          <w:lang w:val="en-US"/>
        </w:rPr>
        <w:t xml:space="preserve"> </w:t>
      </w:r>
      <w:r w:rsidRPr="008C3855">
        <w:rPr>
          <w:lang w:val="en-US"/>
        </w:rPr>
        <w:t>equipment</w:t>
      </w:r>
      <w:r w:rsidRPr="00BF221D">
        <w:rPr>
          <w:lang w:val="en-US"/>
        </w:rPr>
        <w:t xml:space="preserve"> </w:t>
      </w:r>
      <w:r>
        <w:rPr>
          <w:lang w:val="en-US"/>
        </w:rPr>
        <w:t>in</w:t>
      </w:r>
      <w:r w:rsidRPr="00BF221D">
        <w:rPr>
          <w:lang w:val="en-US"/>
        </w:rPr>
        <w:t xml:space="preserve"> </w:t>
      </w:r>
      <w:r>
        <w:rPr>
          <w:lang w:val="en-US"/>
        </w:rPr>
        <w:t>the</w:t>
      </w:r>
      <w:r w:rsidRPr="00BF221D">
        <w:rPr>
          <w:lang w:val="en-US"/>
        </w:rPr>
        <w:t xml:space="preserve"> </w:t>
      </w:r>
      <w:r>
        <w:rPr>
          <w:lang w:val="en-US"/>
        </w:rPr>
        <w:t>amount</w:t>
      </w:r>
      <w:r w:rsidRPr="00BF221D">
        <w:rPr>
          <w:lang w:val="en-US"/>
        </w:rPr>
        <w:t xml:space="preserve"> </w:t>
      </w:r>
      <w:r>
        <w:rPr>
          <w:lang w:val="en-US"/>
        </w:rPr>
        <w:t>of</w:t>
      </w:r>
      <w:r w:rsidRPr="00BF221D">
        <w:rPr>
          <w:lang w:val="en-US"/>
        </w:rPr>
        <w:t xml:space="preserve"> 774 </w:t>
      </w:r>
      <w:proofErr w:type="spellStart"/>
      <w:r>
        <w:rPr>
          <w:lang w:val="en-US"/>
        </w:rPr>
        <w:t>mln</w:t>
      </w:r>
      <w:proofErr w:type="spellEnd"/>
      <w:r w:rsidRPr="00BF221D">
        <w:rPr>
          <w:lang w:val="en-US"/>
        </w:rPr>
        <w:t xml:space="preserve"> </w:t>
      </w:r>
      <w:r>
        <w:rPr>
          <w:lang w:val="en-US"/>
        </w:rPr>
        <w:t>RUB</w:t>
      </w:r>
      <w:r w:rsidRPr="00BF221D">
        <w:rPr>
          <w:lang w:val="en-US"/>
        </w:rPr>
        <w:t xml:space="preserve">, </w:t>
      </w:r>
      <w:r>
        <w:rPr>
          <w:lang w:val="en-US"/>
        </w:rPr>
        <w:t>by a</w:t>
      </w:r>
      <w:r w:rsidRPr="00BF221D">
        <w:rPr>
          <w:lang w:val="en-US"/>
        </w:rPr>
        <w:t xml:space="preserve">ccrual of impairment for accounts receivable </w:t>
      </w:r>
      <w:r>
        <w:rPr>
          <w:lang w:val="en-US"/>
        </w:rPr>
        <w:t>amounting to 3</w:t>
      </w:r>
      <w:r w:rsidRPr="00BF221D">
        <w:rPr>
          <w:lang w:val="en-US"/>
        </w:rPr>
        <w:t xml:space="preserve">73 </w:t>
      </w:r>
      <w:proofErr w:type="spellStart"/>
      <w:r>
        <w:rPr>
          <w:lang w:val="en-US"/>
        </w:rPr>
        <w:t>mln</w:t>
      </w:r>
      <w:proofErr w:type="spellEnd"/>
      <w:r>
        <w:rPr>
          <w:lang w:val="en-US"/>
        </w:rPr>
        <w:t xml:space="preserve"> RUB</w:t>
      </w:r>
      <w:r w:rsidRPr="00BF221D">
        <w:rPr>
          <w:lang w:val="en-US"/>
        </w:rPr>
        <w:t xml:space="preserve">, </w:t>
      </w:r>
      <w:r>
        <w:rPr>
          <w:lang w:val="en-US"/>
        </w:rPr>
        <w:t>and by i</w:t>
      </w:r>
      <w:r w:rsidRPr="00BF221D">
        <w:rPr>
          <w:lang w:val="en-US"/>
        </w:rPr>
        <w:t xml:space="preserve">ncome resulted from the downward revision of pension scheme </w:t>
      </w:r>
      <w:r>
        <w:rPr>
          <w:lang w:val="en-US"/>
        </w:rPr>
        <w:t xml:space="preserve">amounting to </w:t>
      </w:r>
      <w:r w:rsidRPr="00BF221D">
        <w:rPr>
          <w:lang w:val="en-US"/>
        </w:rPr>
        <w:t>1</w:t>
      </w:r>
      <w:r>
        <w:rPr>
          <w:lang w:val="en-US"/>
        </w:rPr>
        <w:t>,</w:t>
      </w:r>
      <w:r w:rsidRPr="00BF221D">
        <w:rPr>
          <w:lang w:val="en-US"/>
        </w:rPr>
        <w:t xml:space="preserve">609 </w:t>
      </w:r>
      <w:proofErr w:type="spellStart"/>
      <w:r>
        <w:rPr>
          <w:lang w:val="en-US"/>
        </w:rPr>
        <w:t>mln</w:t>
      </w:r>
      <w:proofErr w:type="spellEnd"/>
      <w:r>
        <w:rPr>
          <w:lang w:val="en-US"/>
        </w:rPr>
        <w:t xml:space="preserve"> RUB</w:t>
      </w:r>
      <w:r w:rsidRPr="00BF221D">
        <w:rPr>
          <w:lang w:val="en-US"/>
        </w:rPr>
        <w:t xml:space="preserve">. </w:t>
      </w:r>
    </w:p>
  </w:footnote>
  <w:footnote w:id="3">
    <w:p w:rsidR="006713B9" w:rsidRPr="00BF221D" w:rsidRDefault="006713B9">
      <w:pPr>
        <w:pStyle w:val="ad"/>
        <w:rPr>
          <w:lang w:val="en-US"/>
        </w:rPr>
      </w:pPr>
      <w:r>
        <w:rPr>
          <w:rStyle w:val="af"/>
        </w:rPr>
        <w:footnoteRef/>
      </w:r>
      <w:r w:rsidRPr="00BF221D">
        <w:rPr>
          <w:lang w:val="en-US"/>
        </w:rPr>
        <w:t xml:space="preserve"> Operating profit, Losses before income tax, and Loss for the period for the 9 months ended June 30, 2013 are adjusted for the effects of impairment of the Group's property, plant and equipment in the amount of 5</w:t>
      </w:r>
      <w:r>
        <w:rPr>
          <w:lang w:val="en-US"/>
        </w:rPr>
        <w:t>,</w:t>
      </w:r>
      <w:r w:rsidRPr="00BF221D">
        <w:rPr>
          <w:lang w:val="en-US"/>
        </w:rPr>
        <w:t xml:space="preserve">348 </w:t>
      </w:r>
      <w:proofErr w:type="spellStart"/>
      <w:r w:rsidRPr="00BF221D">
        <w:rPr>
          <w:lang w:val="en-US"/>
        </w:rPr>
        <w:t>mln</w:t>
      </w:r>
      <w:proofErr w:type="spellEnd"/>
      <w:r w:rsidRPr="00BF221D">
        <w:rPr>
          <w:lang w:val="en-US"/>
        </w:rPr>
        <w:t xml:space="preserve"> RUB, and by accrual of impairment for accounts receivable amounting to 3</w:t>
      </w:r>
      <w:r>
        <w:rPr>
          <w:lang w:val="en-US"/>
        </w:rPr>
        <w:t>,</w:t>
      </w:r>
      <w:r w:rsidRPr="00BF221D">
        <w:rPr>
          <w:lang w:val="en-US"/>
        </w:rPr>
        <w:t xml:space="preserve">208 </w:t>
      </w:r>
      <w:proofErr w:type="spellStart"/>
      <w:r w:rsidRPr="00BF221D">
        <w:rPr>
          <w:lang w:val="en-US"/>
        </w:rPr>
        <w:t>mln</w:t>
      </w:r>
      <w:proofErr w:type="spellEnd"/>
      <w:r w:rsidRPr="00BF221D">
        <w:rPr>
          <w:lang w:val="en-US"/>
        </w:rPr>
        <w:t xml:space="preserve"> RUB</w:t>
      </w:r>
      <w:r>
        <w:rPr>
          <w:lang w:val="en-US"/>
        </w:rPr>
        <w:t>.</w:t>
      </w:r>
      <w:r w:rsidRPr="00BF221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B9" w:rsidRDefault="006713B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3in;height:3in" o:bullet="t"/>
    </w:pict>
  </w:numPicBullet>
  <w:numPicBullet w:numPicBulletId="1">
    <w:pict>
      <v:shape id="_x0000_i1294" type="#_x0000_t75" style="width:3in;height:3in" o:bullet="t"/>
    </w:pict>
  </w:numPicBullet>
  <w:numPicBullet w:numPicBulletId="2">
    <w:pict>
      <v:shape id="_x0000_i1295" type="#_x0000_t75" style="width:3in;height:3in" o:bullet="t"/>
    </w:pict>
  </w:numPicBullet>
  <w:numPicBullet w:numPicBulletId="3">
    <w:pict>
      <v:shape id="_x0000_i1296" type="#_x0000_t75" style="width:3in;height:3in" o:bullet="t"/>
    </w:pict>
  </w:numPicBullet>
  <w:abstractNum w:abstractNumId="0">
    <w:nsid w:val="02577C5E"/>
    <w:multiLevelType w:val="multilevel"/>
    <w:tmpl w:val="E0385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3E65"/>
    <w:multiLevelType w:val="multilevel"/>
    <w:tmpl w:val="DDAE06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57C90"/>
    <w:multiLevelType w:val="multilevel"/>
    <w:tmpl w:val="F67EE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2341A"/>
    <w:multiLevelType w:val="hybridMultilevel"/>
    <w:tmpl w:val="F0EC4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D5E19"/>
    <w:multiLevelType w:val="multilevel"/>
    <w:tmpl w:val="4860FC2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C088E"/>
    <w:multiLevelType w:val="multilevel"/>
    <w:tmpl w:val="D16255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7737E"/>
    <w:multiLevelType w:val="multilevel"/>
    <w:tmpl w:val="EBE663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5183E"/>
    <w:multiLevelType w:val="multilevel"/>
    <w:tmpl w:val="9008EE7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91355"/>
    <w:multiLevelType w:val="multilevel"/>
    <w:tmpl w:val="98C8D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70"/>
    <w:rsid w:val="00002C4E"/>
    <w:rsid w:val="00004E06"/>
    <w:rsid w:val="000137F6"/>
    <w:rsid w:val="00017122"/>
    <w:rsid w:val="000200A1"/>
    <w:rsid w:val="00020887"/>
    <w:rsid w:val="00022364"/>
    <w:rsid w:val="00050BCC"/>
    <w:rsid w:val="00076B85"/>
    <w:rsid w:val="00076E23"/>
    <w:rsid w:val="00082875"/>
    <w:rsid w:val="00090DA8"/>
    <w:rsid w:val="000A66DA"/>
    <w:rsid w:val="000A75C6"/>
    <w:rsid w:val="000B1F10"/>
    <w:rsid w:val="000B1F56"/>
    <w:rsid w:val="000B50EF"/>
    <w:rsid w:val="000D15DA"/>
    <w:rsid w:val="000D37EE"/>
    <w:rsid w:val="000F28B0"/>
    <w:rsid w:val="000F2CFB"/>
    <w:rsid w:val="00103635"/>
    <w:rsid w:val="00111C3E"/>
    <w:rsid w:val="00124FC9"/>
    <w:rsid w:val="0013708F"/>
    <w:rsid w:val="00141E53"/>
    <w:rsid w:val="00144DFA"/>
    <w:rsid w:val="001455A3"/>
    <w:rsid w:val="00147771"/>
    <w:rsid w:val="00156B72"/>
    <w:rsid w:val="00170446"/>
    <w:rsid w:val="001704F3"/>
    <w:rsid w:val="00172C57"/>
    <w:rsid w:val="00173840"/>
    <w:rsid w:val="001954F3"/>
    <w:rsid w:val="001A1E74"/>
    <w:rsid w:val="001B5004"/>
    <w:rsid w:val="001B5408"/>
    <w:rsid w:val="001E36C5"/>
    <w:rsid w:val="001F27CD"/>
    <w:rsid w:val="00204D20"/>
    <w:rsid w:val="00210B6E"/>
    <w:rsid w:val="0022147D"/>
    <w:rsid w:val="002231C2"/>
    <w:rsid w:val="00224CE2"/>
    <w:rsid w:val="00242647"/>
    <w:rsid w:val="0024399E"/>
    <w:rsid w:val="0025239E"/>
    <w:rsid w:val="0025301B"/>
    <w:rsid w:val="00255EAD"/>
    <w:rsid w:val="00256330"/>
    <w:rsid w:val="00261494"/>
    <w:rsid w:val="0026332E"/>
    <w:rsid w:val="002633CD"/>
    <w:rsid w:val="00274A9C"/>
    <w:rsid w:val="00281142"/>
    <w:rsid w:val="0028474E"/>
    <w:rsid w:val="002B0378"/>
    <w:rsid w:val="002B102A"/>
    <w:rsid w:val="002B32AF"/>
    <w:rsid w:val="002B4407"/>
    <w:rsid w:val="002C260F"/>
    <w:rsid w:val="002D15E5"/>
    <w:rsid w:val="002E0256"/>
    <w:rsid w:val="002E4835"/>
    <w:rsid w:val="002F1BA4"/>
    <w:rsid w:val="002F4DAF"/>
    <w:rsid w:val="002F6345"/>
    <w:rsid w:val="002F734F"/>
    <w:rsid w:val="00305588"/>
    <w:rsid w:val="00305BF3"/>
    <w:rsid w:val="00311B8A"/>
    <w:rsid w:val="00313E23"/>
    <w:rsid w:val="003140E1"/>
    <w:rsid w:val="00322C26"/>
    <w:rsid w:val="00324D1B"/>
    <w:rsid w:val="0034103D"/>
    <w:rsid w:val="00351167"/>
    <w:rsid w:val="00354FC8"/>
    <w:rsid w:val="00364606"/>
    <w:rsid w:val="00373AC7"/>
    <w:rsid w:val="00375372"/>
    <w:rsid w:val="00386924"/>
    <w:rsid w:val="0039027B"/>
    <w:rsid w:val="00391611"/>
    <w:rsid w:val="00391644"/>
    <w:rsid w:val="0039309B"/>
    <w:rsid w:val="003979B6"/>
    <w:rsid w:val="00397BD6"/>
    <w:rsid w:val="003A103F"/>
    <w:rsid w:val="003A3A09"/>
    <w:rsid w:val="003A6F76"/>
    <w:rsid w:val="003B5582"/>
    <w:rsid w:val="003B6482"/>
    <w:rsid w:val="003C0771"/>
    <w:rsid w:val="003C334F"/>
    <w:rsid w:val="003C6824"/>
    <w:rsid w:val="003D1E79"/>
    <w:rsid w:val="003D2A06"/>
    <w:rsid w:val="003D6EA0"/>
    <w:rsid w:val="003D7D2D"/>
    <w:rsid w:val="003E1964"/>
    <w:rsid w:val="003E231F"/>
    <w:rsid w:val="003E5F10"/>
    <w:rsid w:val="003E73C8"/>
    <w:rsid w:val="0040023A"/>
    <w:rsid w:val="00412B9A"/>
    <w:rsid w:val="0041536F"/>
    <w:rsid w:val="00417371"/>
    <w:rsid w:val="00423CE8"/>
    <w:rsid w:val="00426091"/>
    <w:rsid w:val="00426B9D"/>
    <w:rsid w:val="00433152"/>
    <w:rsid w:val="00475245"/>
    <w:rsid w:val="0047770E"/>
    <w:rsid w:val="00477AF5"/>
    <w:rsid w:val="00477F3F"/>
    <w:rsid w:val="00481138"/>
    <w:rsid w:val="0049138E"/>
    <w:rsid w:val="00495911"/>
    <w:rsid w:val="004A099E"/>
    <w:rsid w:val="004A11CA"/>
    <w:rsid w:val="004A1F39"/>
    <w:rsid w:val="004A30E5"/>
    <w:rsid w:val="004B56E6"/>
    <w:rsid w:val="004C03AF"/>
    <w:rsid w:val="004D056E"/>
    <w:rsid w:val="004D1C74"/>
    <w:rsid w:val="004E2DB9"/>
    <w:rsid w:val="004E71BC"/>
    <w:rsid w:val="004F25C8"/>
    <w:rsid w:val="004F304E"/>
    <w:rsid w:val="004F6B3E"/>
    <w:rsid w:val="004F7C53"/>
    <w:rsid w:val="00502827"/>
    <w:rsid w:val="0050420C"/>
    <w:rsid w:val="0050572F"/>
    <w:rsid w:val="00506D9E"/>
    <w:rsid w:val="00512464"/>
    <w:rsid w:val="0051363B"/>
    <w:rsid w:val="00514EC3"/>
    <w:rsid w:val="005206E9"/>
    <w:rsid w:val="00521233"/>
    <w:rsid w:val="00527836"/>
    <w:rsid w:val="005362F1"/>
    <w:rsid w:val="00550AA9"/>
    <w:rsid w:val="005517AB"/>
    <w:rsid w:val="005523AB"/>
    <w:rsid w:val="00554CF2"/>
    <w:rsid w:val="00557923"/>
    <w:rsid w:val="005657CF"/>
    <w:rsid w:val="00571253"/>
    <w:rsid w:val="00574305"/>
    <w:rsid w:val="00574F81"/>
    <w:rsid w:val="005752FD"/>
    <w:rsid w:val="00577591"/>
    <w:rsid w:val="005812C8"/>
    <w:rsid w:val="00581A64"/>
    <w:rsid w:val="005866AB"/>
    <w:rsid w:val="005930B6"/>
    <w:rsid w:val="00595970"/>
    <w:rsid w:val="00595DDA"/>
    <w:rsid w:val="005A1B6C"/>
    <w:rsid w:val="005B1DF9"/>
    <w:rsid w:val="005B4B1D"/>
    <w:rsid w:val="005B5D91"/>
    <w:rsid w:val="005C534B"/>
    <w:rsid w:val="005D0EAC"/>
    <w:rsid w:val="005D1773"/>
    <w:rsid w:val="005D66C7"/>
    <w:rsid w:val="005E0CB1"/>
    <w:rsid w:val="005E3A4C"/>
    <w:rsid w:val="005E4E26"/>
    <w:rsid w:val="005F4DF0"/>
    <w:rsid w:val="00610CF0"/>
    <w:rsid w:val="00610E2E"/>
    <w:rsid w:val="00612AF2"/>
    <w:rsid w:val="00617A7B"/>
    <w:rsid w:val="00622B5E"/>
    <w:rsid w:val="00625013"/>
    <w:rsid w:val="00632162"/>
    <w:rsid w:val="006348FD"/>
    <w:rsid w:val="00645660"/>
    <w:rsid w:val="00646262"/>
    <w:rsid w:val="00646E26"/>
    <w:rsid w:val="00653932"/>
    <w:rsid w:val="00657747"/>
    <w:rsid w:val="006605D6"/>
    <w:rsid w:val="00661FE5"/>
    <w:rsid w:val="00666A1A"/>
    <w:rsid w:val="006713B9"/>
    <w:rsid w:val="00673114"/>
    <w:rsid w:val="00674362"/>
    <w:rsid w:val="00681E51"/>
    <w:rsid w:val="00691818"/>
    <w:rsid w:val="00693A9B"/>
    <w:rsid w:val="00697965"/>
    <w:rsid w:val="006B0983"/>
    <w:rsid w:val="006B1843"/>
    <w:rsid w:val="006B2F21"/>
    <w:rsid w:val="006B3242"/>
    <w:rsid w:val="006B7D15"/>
    <w:rsid w:val="006C12DD"/>
    <w:rsid w:val="006C2944"/>
    <w:rsid w:val="006C487E"/>
    <w:rsid w:val="006C79C1"/>
    <w:rsid w:val="006D44AB"/>
    <w:rsid w:val="00702043"/>
    <w:rsid w:val="007041B7"/>
    <w:rsid w:val="00704B9A"/>
    <w:rsid w:val="0070697C"/>
    <w:rsid w:val="00706F5C"/>
    <w:rsid w:val="007105A0"/>
    <w:rsid w:val="00713B39"/>
    <w:rsid w:val="007267F3"/>
    <w:rsid w:val="00727B5C"/>
    <w:rsid w:val="00736393"/>
    <w:rsid w:val="007378AA"/>
    <w:rsid w:val="00742544"/>
    <w:rsid w:val="00754624"/>
    <w:rsid w:val="00762063"/>
    <w:rsid w:val="0076304E"/>
    <w:rsid w:val="00765841"/>
    <w:rsid w:val="00777C03"/>
    <w:rsid w:val="0078621C"/>
    <w:rsid w:val="00797619"/>
    <w:rsid w:val="007A2E3D"/>
    <w:rsid w:val="007A4B72"/>
    <w:rsid w:val="007A68F2"/>
    <w:rsid w:val="007C75EA"/>
    <w:rsid w:val="007D7085"/>
    <w:rsid w:val="007F12E5"/>
    <w:rsid w:val="007F6C5E"/>
    <w:rsid w:val="00801A6A"/>
    <w:rsid w:val="00801BA2"/>
    <w:rsid w:val="008061D4"/>
    <w:rsid w:val="0080790F"/>
    <w:rsid w:val="008101E5"/>
    <w:rsid w:val="00813D04"/>
    <w:rsid w:val="00820F27"/>
    <w:rsid w:val="00836B0B"/>
    <w:rsid w:val="00841631"/>
    <w:rsid w:val="008419C7"/>
    <w:rsid w:val="00843986"/>
    <w:rsid w:val="008478C5"/>
    <w:rsid w:val="008600FA"/>
    <w:rsid w:val="0086036D"/>
    <w:rsid w:val="00867390"/>
    <w:rsid w:val="00867DDB"/>
    <w:rsid w:val="008749DC"/>
    <w:rsid w:val="008775E7"/>
    <w:rsid w:val="00881F01"/>
    <w:rsid w:val="0089256E"/>
    <w:rsid w:val="00892896"/>
    <w:rsid w:val="00895F78"/>
    <w:rsid w:val="008A0C6A"/>
    <w:rsid w:val="008A414D"/>
    <w:rsid w:val="008B2A31"/>
    <w:rsid w:val="008B404B"/>
    <w:rsid w:val="008C3855"/>
    <w:rsid w:val="008D0002"/>
    <w:rsid w:val="008D1100"/>
    <w:rsid w:val="008D1DD8"/>
    <w:rsid w:val="008D36FA"/>
    <w:rsid w:val="008D4688"/>
    <w:rsid w:val="008D6877"/>
    <w:rsid w:val="008E0B85"/>
    <w:rsid w:val="008E3041"/>
    <w:rsid w:val="008F03B6"/>
    <w:rsid w:val="008F6FF3"/>
    <w:rsid w:val="009006C0"/>
    <w:rsid w:val="0090705C"/>
    <w:rsid w:val="0091639D"/>
    <w:rsid w:val="009243E3"/>
    <w:rsid w:val="0092569F"/>
    <w:rsid w:val="00930C87"/>
    <w:rsid w:val="00941D1F"/>
    <w:rsid w:val="00945449"/>
    <w:rsid w:val="009508FA"/>
    <w:rsid w:val="0095096C"/>
    <w:rsid w:val="00957F37"/>
    <w:rsid w:val="00962DD7"/>
    <w:rsid w:val="0096524B"/>
    <w:rsid w:val="00973C31"/>
    <w:rsid w:val="00981B24"/>
    <w:rsid w:val="00983909"/>
    <w:rsid w:val="00984553"/>
    <w:rsid w:val="0099595A"/>
    <w:rsid w:val="009A0239"/>
    <w:rsid w:val="009A09D3"/>
    <w:rsid w:val="009A29E9"/>
    <w:rsid w:val="009A4A64"/>
    <w:rsid w:val="009A6E93"/>
    <w:rsid w:val="009B372E"/>
    <w:rsid w:val="009B3AA5"/>
    <w:rsid w:val="009B5042"/>
    <w:rsid w:val="009B5492"/>
    <w:rsid w:val="009C0A19"/>
    <w:rsid w:val="009C1A10"/>
    <w:rsid w:val="009C4026"/>
    <w:rsid w:val="009C4CBF"/>
    <w:rsid w:val="009D2CB6"/>
    <w:rsid w:val="009D3CAF"/>
    <w:rsid w:val="009D4034"/>
    <w:rsid w:val="009F3377"/>
    <w:rsid w:val="009F59D4"/>
    <w:rsid w:val="00A00DDC"/>
    <w:rsid w:val="00A11EC0"/>
    <w:rsid w:val="00A23DD6"/>
    <w:rsid w:val="00A30852"/>
    <w:rsid w:val="00A32D69"/>
    <w:rsid w:val="00A34513"/>
    <w:rsid w:val="00A44537"/>
    <w:rsid w:val="00A47422"/>
    <w:rsid w:val="00A51054"/>
    <w:rsid w:val="00A55A78"/>
    <w:rsid w:val="00A709BF"/>
    <w:rsid w:val="00A73E9B"/>
    <w:rsid w:val="00A77F8F"/>
    <w:rsid w:val="00A811B3"/>
    <w:rsid w:val="00A83D1A"/>
    <w:rsid w:val="00A87703"/>
    <w:rsid w:val="00A934E3"/>
    <w:rsid w:val="00A95C53"/>
    <w:rsid w:val="00A97552"/>
    <w:rsid w:val="00AA0412"/>
    <w:rsid w:val="00AB3ECB"/>
    <w:rsid w:val="00AC04CF"/>
    <w:rsid w:val="00AD3F11"/>
    <w:rsid w:val="00AD4323"/>
    <w:rsid w:val="00AD4B06"/>
    <w:rsid w:val="00AE37F6"/>
    <w:rsid w:val="00AE68AC"/>
    <w:rsid w:val="00AF7909"/>
    <w:rsid w:val="00B07C91"/>
    <w:rsid w:val="00B11744"/>
    <w:rsid w:val="00B12039"/>
    <w:rsid w:val="00B14176"/>
    <w:rsid w:val="00B33592"/>
    <w:rsid w:val="00B36D93"/>
    <w:rsid w:val="00B4091B"/>
    <w:rsid w:val="00B45026"/>
    <w:rsid w:val="00B472D1"/>
    <w:rsid w:val="00B56081"/>
    <w:rsid w:val="00B57A96"/>
    <w:rsid w:val="00B606B7"/>
    <w:rsid w:val="00B63830"/>
    <w:rsid w:val="00B740AB"/>
    <w:rsid w:val="00B77AD0"/>
    <w:rsid w:val="00B96E6A"/>
    <w:rsid w:val="00BA4CFF"/>
    <w:rsid w:val="00BB1E0C"/>
    <w:rsid w:val="00BB1F53"/>
    <w:rsid w:val="00BB2282"/>
    <w:rsid w:val="00BC2C91"/>
    <w:rsid w:val="00BD4262"/>
    <w:rsid w:val="00BE0E4E"/>
    <w:rsid w:val="00BE6ECB"/>
    <w:rsid w:val="00BF08A5"/>
    <w:rsid w:val="00BF221D"/>
    <w:rsid w:val="00BF355A"/>
    <w:rsid w:val="00C002B6"/>
    <w:rsid w:val="00C031BB"/>
    <w:rsid w:val="00C0649B"/>
    <w:rsid w:val="00C149C7"/>
    <w:rsid w:val="00C24960"/>
    <w:rsid w:val="00C433EF"/>
    <w:rsid w:val="00C61CC5"/>
    <w:rsid w:val="00C71ABB"/>
    <w:rsid w:val="00C72157"/>
    <w:rsid w:val="00C7628A"/>
    <w:rsid w:val="00C76518"/>
    <w:rsid w:val="00C87D23"/>
    <w:rsid w:val="00C96942"/>
    <w:rsid w:val="00CA2AA0"/>
    <w:rsid w:val="00CA5EC6"/>
    <w:rsid w:val="00CB1269"/>
    <w:rsid w:val="00CC174F"/>
    <w:rsid w:val="00CF4F3E"/>
    <w:rsid w:val="00CF7469"/>
    <w:rsid w:val="00D015FA"/>
    <w:rsid w:val="00D01EBC"/>
    <w:rsid w:val="00D045C9"/>
    <w:rsid w:val="00D046C9"/>
    <w:rsid w:val="00D06327"/>
    <w:rsid w:val="00D0771E"/>
    <w:rsid w:val="00D10580"/>
    <w:rsid w:val="00D144E1"/>
    <w:rsid w:val="00D14FEF"/>
    <w:rsid w:val="00D278CB"/>
    <w:rsid w:val="00D46AB1"/>
    <w:rsid w:val="00D50DE4"/>
    <w:rsid w:val="00D51D65"/>
    <w:rsid w:val="00D63C5E"/>
    <w:rsid w:val="00D674E7"/>
    <w:rsid w:val="00D72BAC"/>
    <w:rsid w:val="00D77D63"/>
    <w:rsid w:val="00D826A9"/>
    <w:rsid w:val="00D8547A"/>
    <w:rsid w:val="00D86251"/>
    <w:rsid w:val="00D900F9"/>
    <w:rsid w:val="00D93291"/>
    <w:rsid w:val="00D9417A"/>
    <w:rsid w:val="00D9533E"/>
    <w:rsid w:val="00DA34A8"/>
    <w:rsid w:val="00DA40FD"/>
    <w:rsid w:val="00DA6659"/>
    <w:rsid w:val="00DB0EEC"/>
    <w:rsid w:val="00DC4807"/>
    <w:rsid w:val="00DC797C"/>
    <w:rsid w:val="00DD42EC"/>
    <w:rsid w:val="00DD52E8"/>
    <w:rsid w:val="00DD5B9B"/>
    <w:rsid w:val="00DD72FC"/>
    <w:rsid w:val="00DF07CD"/>
    <w:rsid w:val="00DF2823"/>
    <w:rsid w:val="00DF5343"/>
    <w:rsid w:val="00E030B5"/>
    <w:rsid w:val="00E030F4"/>
    <w:rsid w:val="00E0590F"/>
    <w:rsid w:val="00E27A77"/>
    <w:rsid w:val="00E30C46"/>
    <w:rsid w:val="00E31F20"/>
    <w:rsid w:val="00E3720D"/>
    <w:rsid w:val="00E37318"/>
    <w:rsid w:val="00E45D1B"/>
    <w:rsid w:val="00E5099C"/>
    <w:rsid w:val="00E52320"/>
    <w:rsid w:val="00E55359"/>
    <w:rsid w:val="00E62743"/>
    <w:rsid w:val="00E7678C"/>
    <w:rsid w:val="00E81A64"/>
    <w:rsid w:val="00E90636"/>
    <w:rsid w:val="00EB2262"/>
    <w:rsid w:val="00EB2A47"/>
    <w:rsid w:val="00EC28B4"/>
    <w:rsid w:val="00EC70FE"/>
    <w:rsid w:val="00EC7EDB"/>
    <w:rsid w:val="00ED6E6B"/>
    <w:rsid w:val="00EE2362"/>
    <w:rsid w:val="00EE2A9A"/>
    <w:rsid w:val="00EF07C6"/>
    <w:rsid w:val="00EF1E94"/>
    <w:rsid w:val="00EF6C6B"/>
    <w:rsid w:val="00EF7C82"/>
    <w:rsid w:val="00F0104E"/>
    <w:rsid w:val="00F02F73"/>
    <w:rsid w:val="00F13E19"/>
    <w:rsid w:val="00F1466B"/>
    <w:rsid w:val="00F23F24"/>
    <w:rsid w:val="00F36794"/>
    <w:rsid w:val="00F45F7D"/>
    <w:rsid w:val="00F60670"/>
    <w:rsid w:val="00F63D40"/>
    <w:rsid w:val="00F721B4"/>
    <w:rsid w:val="00F763CF"/>
    <w:rsid w:val="00F81D2E"/>
    <w:rsid w:val="00F93DFB"/>
    <w:rsid w:val="00F947A3"/>
    <w:rsid w:val="00FB013F"/>
    <w:rsid w:val="00FB41D1"/>
    <w:rsid w:val="00FD0425"/>
    <w:rsid w:val="00FD12DC"/>
    <w:rsid w:val="00FD3A33"/>
    <w:rsid w:val="00FE0550"/>
    <w:rsid w:val="00FE5069"/>
    <w:rsid w:val="00FE5C0B"/>
    <w:rsid w:val="00FF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1C"/>
    <w:rPr>
      <w:color w:val="0000FF" w:themeColor="hyperlink"/>
      <w:u w:val="single"/>
    </w:rPr>
  </w:style>
  <w:style w:type="table" w:styleId="a4">
    <w:name w:val="Table Grid"/>
    <w:basedOn w:val="a1"/>
    <w:uiPriority w:val="59"/>
    <w:rsid w:val="0078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979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965"/>
    <w:rPr>
      <w:rFonts w:ascii="Tahoma" w:hAnsi="Tahoma" w:cs="Tahoma"/>
      <w:sz w:val="16"/>
      <w:szCs w:val="16"/>
    </w:rPr>
  </w:style>
  <w:style w:type="paragraph" w:styleId="a7">
    <w:name w:val="List Paragraph"/>
    <w:basedOn w:val="a"/>
    <w:uiPriority w:val="34"/>
    <w:qFormat/>
    <w:rsid w:val="00BE6ECB"/>
    <w:pPr>
      <w:ind w:left="720"/>
      <w:contextualSpacing/>
    </w:pPr>
  </w:style>
  <w:style w:type="character" w:styleId="a8">
    <w:name w:val="annotation reference"/>
    <w:basedOn w:val="a0"/>
    <w:uiPriority w:val="99"/>
    <w:semiHidden/>
    <w:unhideWhenUsed/>
    <w:rsid w:val="000D15DA"/>
    <w:rPr>
      <w:sz w:val="16"/>
      <w:szCs w:val="16"/>
    </w:rPr>
  </w:style>
  <w:style w:type="paragraph" w:styleId="a9">
    <w:name w:val="annotation text"/>
    <w:basedOn w:val="a"/>
    <w:link w:val="aa"/>
    <w:uiPriority w:val="99"/>
    <w:semiHidden/>
    <w:unhideWhenUsed/>
    <w:rsid w:val="000D15DA"/>
    <w:pPr>
      <w:spacing w:line="240" w:lineRule="auto"/>
    </w:pPr>
    <w:rPr>
      <w:sz w:val="20"/>
      <w:szCs w:val="20"/>
    </w:rPr>
  </w:style>
  <w:style w:type="character" w:customStyle="1" w:styleId="aa">
    <w:name w:val="Текст примечания Знак"/>
    <w:basedOn w:val="a0"/>
    <w:link w:val="a9"/>
    <w:uiPriority w:val="99"/>
    <w:semiHidden/>
    <w:rsid w:val="000D15DA"/>
    <w:rPr>
      <w:sz w:val="20"/>
      <w:szCs w:val="20"/>
    </w:rPr>
  </w:style>
  <w:style w:type="paragraph" w:styleId="ab">
    <w:name w:val="annotation subject"/>
    <w:basedOn w:val="a9"/>
    <w:next w:val="a9"/>
    <w:link w:val="ac"/>
    <w:uiPriority w:val="99"/>
    <w:semiHidden/>
    <w:unhideWhenUsed/>
    <w:rsid w:val="000D15DA"/>
    <w:rPr>
      <w:b/>
      <w:bCs/>
    </w:rPr>
  </w:style>
  <w:style w:type="character" w:customStyle="1" w:styleId="ac">
    <w:name w:val="Тема примечания Знак"/>
    <w:basedOn w:val="aa"/>
    <w:link w:val="ab"/>
    <w:uiPriority w:val="99"/>
    <w:semiHidden/>
    <w:rsid w:val="000D15DA"/>
    <w:rPr>
      <w:b/>
      <w:bCs/>
      <w:sz w:val="20"/>
      <w:szCs w:val="20"/>
    </w:rPr>
  </w:style>
  <w:style w:type="paragraph" w:styleId="ad">
    <w:name w:val="footnote text"/>
    <w:basedOn w:val="a"/>
    <w:link w:val="ae"/>
    <w:uiPriority w:val="99"/>
    <w:semiHidden/>
    <w:unhideWhenUsed/>
    <w:rsid w:val="00FD0425"/>
    <w:pPr>
      <w:spacing w:after="0" w:line="240" w:lineRule="auto"/>
    </w:pPr>
    <w:rPr>
      <w:sz w:val="20"/>
      <w:szCs w:val="20"/>
    </w:rPr>
  </w:style>
  <w:style w:type="character" w:customStyle="1" w:styleId="ae">
    <w:name w:val="Текст сноски Знак"/>
    <w:basedOn w:val="a0"/>
    <w:link w:val="ad"/>
    <w:uiPriority w:val="99"/>
    <w:semiHidden/>
    <w:rsid w:val="00FD0425"/>
    <w:rPr>
      <w:sz w:val="20"/>
      <w:szCs w:val="20"/>
    </w:rPr>
  </w:style>
  <w:style w:type="character" w:styleId="af">
    <w:name w:val="footnote reference"/>
    <w:basedOn w:val="a0"/>
    <w:uiPriority w:val="99"/>
    <w:semiHidden/>
    <w:unhideWhenUsed/>
    <w:rsid w:val="00FD0425"/>
    <w:rPr>
      <w:vertAlign w:val="superscript"/>
    </w:rPr>
  </w:style>
  <w:style w:type="character" w:styleId="af0">
    <w:name w:val="FollowedHyperlink"/>
    <w:basedOn w:val="a0"/>
    <w:uiPriority w:val="99"/>
    <w:semiHidden/>
    <w:unhideWhenUsed/>
    <w:rsid w:val="005866AB"/>
    <w:rPr>
      <w:color w:val="800080" w:themeColor="followedHyperlink"/>
      <w:u w:val="single"/>
    </w:rPr>
  </w:style>
  <w:style w:type="table" w:styleId="af1">
    <w:name w:val="Light Shading"/>
    <w:basedOn w:val="a1"/>
    <w:uiPriority w:val="60"/>
    <w:rsid w:val="005E0C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header"/>
    <w:basedOn w:val="a"/>
    <w:link w:val="af3"/>
    <w:uiPriority w:val="99"/>
    <w:unhideWhenUsed/>
    <w:rsid w:val="001B540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5408"/>
  </w:style>
  <w:style w:type="paragraph" w:styleId="af4">
    <w:name w:val="footer"/>
    <w:basedOn w:val="a"/>
    <w:link w:val="af5"/>
    <w:uiPriority w:val="99"/>
    <w:unhideWhenUsed/>
    <w:rsid w:val="001B540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5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1C"/>
    <w:rPr>
      <w:color w:val="0000FF" w:themeColor="hyperlink"/>
      <w:u w:val="single"/>
    </w:rPr>
  </w:style>
  <w:style w:type="table" w:styleId="a4">
    <w:name w:val="Table Grid"/>
    <w:basedOn w:val="a1"/>
    <w:uiPriority w:val="59"/>
    <w:rsid w:val="0078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979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965"/>
    <w:rPr>
      <w:rFonts w:ascii="Tahoma" w:hAnsi="Tahoma" w:cs="Tahoma"/>
      <w:sz w:val="16"/>
      <w:szCs w:val="16"/>
    </w:rPr>
  </w:style>
  <w:style w:type="paragraph" w:styleId="a7">
    <w:name w:val="List Paragraph"/>
    <w:basedOn w:val="a"/>
    <w:uiPriority w:val="34"/>
    <w:qFormat/>
    <w:rsid w:val="00BE6ECB"/>
    <w:pPr>
      <w:ind w:left="720"/>
      <w:contextualSpacing/>
    </w:pPr>
  </w:style>
  <w:style w:type="character" w:styleId="a8">
    <w:name w:val="annotation reference"/>
    <w:basedOn w:val="a0"/>
    <w:uiPriority w:val="99"/>
    <w:semiHidden/>
    <w:unhideWhenUsed/>
    <w:rsid w:val="000D15DA"/>
    <w:rPr>
      <w:sz w:val="16"/>
      <w:szCs w:val="16"/>
    </w:rPr>
  </w:style>
  <w:style w:type="paragraph" w:styleId="a9">
    <w:name w:val="annotation text"/>
    <w:basedOn w:val="a"/>
    <w:link w:val="aa"/>
    <w:uiPriority w:val="99"/>
    <w:semiHidden/>
    <w:unhideWhenUsed/>
    <w:rsid w:val="000D15DA"/>
    <w:pPr>
      <w:spacing w:line="240" w:lineRule="auto"/>
    </w:pPr>
    <w:rPr>
      <w:sz w:val="20"/>
      <w:szCs w:val="20"/>
    </w:rPr>
  </w:style>
  <w:style w:type="character" w:customStyle="1" w:styleId="aa">
    <w:name w:val="Текст примечания Знак"/>
    <w:basedOn w:val="a0"/>
    <w:link w:val="a9"/>
    <w:uiPriority w:val="99"/>
    <w:semiHidden/>
    <w:rsid w:val="000D15DA"/>
    <w:rPr>
      <w:sz w:val="20"/>
      <w:szCs w:val="20"/>
    </w:rPr>
  </w:style>
  <w:style w:type="paragraph" w:styleId="ab">
    <w:name w:val="annotation subject"/>
    <w:basedOn w:val="a9"/>
    <w:next w:val="a9"/>
    <w:link w:val="ac"/>
    <w:uiPriority w:val="99"/>
    <w:semiHidden/>
    <w:unhideWhenUsed/>
    <w:rsid w:val="000D15DA"/>
    <w:rPr>
      <w:b/>
      <w:bCs/>
    </w:rPr>
  </w:style>
  <w:style w:type="character" w:customStyle="1" w:styleId="ac">
    <w:name w:val="Тема примечания Знак"/>
    <w:basedOn w:val="aa"/>
    <w:link w:val="ab"/>
    <w:uiPriority w:val="99"/>
    <w:semiHidden/>
    <w:rsid w:val="000D15DA"/>
    <w:rPr>
      <w:b/>
      <w:bCs/>
      <w:sz w:val="20"/>
      <w:szCs w:val="20"/>
    </w:rPr>
  </w:style>
  <w:style w:type="paragraph" w:styleId="ad">
    <w:name w:val="footnote text"/>
    <w:basedOn w:val="a"/>
    <w:link w:val="ae"/>
    <w:uiPriority w:val="99"/>
    <w:semiHidden/>
    <w:unhideWhenUsed/>
    <w:rsid w:val="00FD0425"/>
    <w:pPr>
      <w:spacing w:after="0" w:line="240" w:lineRule="auto"/>
    </w:pPr>
    <w:rPr>
      <w:sz w:val="20"/>
      <w:szCs w:val="20"/>
    </w:rPr>
  </w:style>
  <w:style w:type="character" w:customStyle="1" w:styleId="ae">
    <w:name w:val="Текст сноски Знак"/>
    <w:basedOn w:val="a0"/>
    <w:link w:val="ad"/>
    <w:uiPriority w:val="99"/>
    <w:semiHidden/>
    <w:rsid w:val="00FD0425"/>
    <w:rPr>
      <w:sz w:val="20"/>
      <w:szCs w:val="20"/>
    </w:rPr>
  </w:style>
  <w:style w:type="character" w:styleId="af">
    <w:name w:val="footnote reference"/>
    <w:basedOn w:val="a0"/>
    <w:uiPriority w:val="99"/>
    <w:semiHidden/>
    <w:unhideWhenUsed/>
    <w:rsid w:val="00FD0425"/>
    <w:rPr>
      <w:vertAlign w:val="superscript"/>
    </w:rPr>
  </w:style>
  <w:style w:type="character" w:styleId="af0">
    <w:name w:val="FollowedHyperlink"/>
    <w:basedOn w:val="a0"/>
    <w:uiPriority w:val="99"/>
    <w:semiHidden/>
    <w:unhideWhenUsed/>
    <w:rsid w:val="005866AB"/>
    <w:rPr>
      <w:color w:val="800080" w:themeColor="followedHyperlink"/>
      <w:u w:val="single"/>
    </w:rPr>
  </w:style>
  <w:style w:type="table" w:styleId="af1">
    <w:name w:val="Light Shading"/>
    <w:basedOn w:val="a1"/>
    <w:uiPriority w:val="60"/>
    <w:rsid w:val="005E0C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header"/>
    <w:basedOn w:val="a"/>
    <w:link w:val="af3"/>
    <w:uiPriority w:val="99"/>
    <w:unhideWhenUsed/>
    <w:rsid w:val="001B540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5408"/>
  </w:style>
  <w:style w:type="paragraph" w:styleId="af4">
    <w:name w:val="footer"/>
    <w:basedOn w:val="a"/>
    <w:link w:val="af5"/>
    <w:uiPriority w:val="99"/>
    <w:unhideWhenUsed/>
    <w:rsid w:val="001B540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o-esv.ru/en/shareholders-and-investors/companys-reports/annual-financial-repor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05B1-7F53-412A-BF2C-12B9C09EB9B0}">
  <ds:schemaRefs>
    <ds:schemaRef ds:uri="http://schemas.openxmlformats.org/officeDocument/2006/bibliography"/>
  </ds:schemaRefs>
</ds:datastoreItem>
</file>

<file path=customXml/itemProps2.xml><?xml version="1.0" encoding="utf-8"?>
<ds:datastoreItem xmlns:ds="http://schemas.openxmlformats.org/officeDocument/2006/customXml" ds:itemID="{7FD3C3BE-2A78-4EBD-9074-6D3D243AEAA9}">
  <ds:schemaRefs>
    <ds:schemaRef ds:uri="http://schemas.openxmlformats.org/officeDocument/2006/bibliography"/>
  </ds:schemaRefs>
</ds:datastoreItem>
</file>

<file path=customXml/itemProps3.xml><?xml version="1.0" encoding="utf-8"?>
<ds:datastoreItem xmlns:ds="http://schemas.openxmlformats.org/officeDocument/2006/customXml" ds:itemID="{5571F39E-175D-4B94-9457-8B81EC08F426}">
  <ds:schemaRefs>
    <ds:schemaRef ds:uri="http://schemas.openxmlformats.org/officeDocument/2006/bibliography"/>
  </ds:schemaRefs>
</ds:datastoreItem>
</file>

<file path=customXml/itemProps4.xml><?xml version="1.0" encoding="utf-8"?>
<ds:datastoreItem xmlns:ds="http://schemas.openxmlformats.org/officeDocument/2006/customXml" ds:itemID="{EE069E26-D99C-4452-BCD4-5F2AE4D5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1886</Words>
  <Characters>10754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"РАО ЭС ВОСТОКА"</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 Максим Михайлович</dc:creator>
  <cp:lastModifiedBy>Кочетков Максим Михайлович</cp:lastModifiedBy>
  <cp:revision>6</cp:revision>
  <cp:lastPrinted>2012-10-15T07:21:00Z</cp:lastPrinted>
  <dcterms:created xsi:type="dcterms:W3CDTF">2013-12-16T10:48:00Z</dcterms:created>
  <dcterms:modified xsi:type="dcterms:W3CDTF">2013-12-16T15:38:00Z</dcterms:modified>
</cp:coreProperties>
</file>