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4B" w:rsidRPr="0005340E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5340E">
        <w:rPr>
          <w:rFonts w:ascii="Tahoma" w:hAnsi="Tahoma" w:cs="Tahoma"/>
          <w:sz w:val="22"/>
          <w:szCs w:val="22"/>
        </w:rPr>
        <w:t>УТВЕРЖДЕН</w:t>
      </w:r>
      <w:r>
        <w:rPr>
          <w:rFonts w:ascii="Tahoma" w:hAnsi="Tahoma" w:cs="Tahoma"/>
          <w:sz w:val="22"/>
          <w:szCs w:val="22"/>
        </w:rPr>
        <w:t>Ы</w:t>
      </w:r>
    </w:p>
    <w:p w:rsidR="005A424B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внеочередным </w:t>
      </w:r>
      <w:r w:rsidRPr="0005340E">
        <w:rPr>
          <w:rFonts w:ascii="Tahoma" w:hAnsi="Tahoma" w:cs="Tahoma"/>
          <w:sz w:val="22"/>
          <w:szCs w:val="22"/>
        </w:rPr>
        <w:t>Общ</w:t>
      </w:r>
      <w:r>
        <w:rPr>
          <w:rFonts w:ascii="Tahoma" w:hAnsi="Tahoma" w:cs="Tahoma"/>
          <w:sz w:val="22"/>
          <w:szCs w:val="22"/>
        </w:rPr>
        <w:t>им</w:t>
      </w:r>
      <w:r w:rsidRPr="0005340E">
        <w:rPr>
          <w:rFonts w:ascii="Tahoma" w:hAnsi="Tahoma" w:cs="Tahoma"/>
          <w:sz w:val="22"/>
          <w:szCs w:val="22"/>
        </w:rPr>
        <w:t xml:space="preserve"> собрани</w:t>
      </w:r>
      <w:r>
        <w:rPr>
          <w:rFonts w:ascii="Tahoma" w:hAnsi="Tahoma" w:cs="Tahoma"/>
          <w:sz w:val="22"/>
          <w:szCs w:val="22"/>
        </w:rPr>
        <w:t>ем</w:t>
      </w:r>
      <w:r w:rsidRPr="000534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акционеров ПАО «РАО ЭС Востока»</w:t>
      </w:r>
    </w:p>
    <w:p w:rsidR="005A424B" w:rsidRPr="0005340E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</w:t>
      </w:r>
      <w:r w:rsidR="001F3036">
        <w:rPr>
          <w:rFonts w:ascii="Tahoma" w:hAnsi="Tahoma" w:cs="Tahoma"/>
          <w:sz w:val="22"/>
          <w:szCs w:val="22"/>
        </w:rPr>
        <w:t>1</w:t>
      </w:r>
      <w:r w:rsidR="0035531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» </w:t>
      </w:r>
      <w:r w:rsidR="0035531F">
        <w:rPr>
          <w:rFonts w:ascii="Tahoma" w:hAnsi="Tahoma" w:cs="Tahoma"/>
          <w:sz w:val="22"/>
          <w:szCs w:val="22"/>
        </w:rPr>
        <w:t>апреля</w:t>
      </w:r>
      <w:r>
        <w:rPr>
          <w:rFonts w:ascii="Tahoma" w:hAnsi="Tahoma" w:cs="Tahoma"/>
          <w:sz w:val="22"/>
          <w:szCs w:val="22"/>
        </w:rPr>
        <w:t xml:space="preserve"> 2017 года</w:t>
      </w:r>
    </w:p>
    <w:p w:rsidR="005A424B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4165E5">
        <w:rPr>
          <w:rFonts w:ascii="Tahoma" w:hAnsi="Tahoma" w:cs="Tahoma"/>
          <w:sz w:val="22"/>
          <w:szCs w:val="22"/>
        </w:rPr>
        <w:t>протокол от</w:t>
      </w:r>
      <w:r>
        <w:rPr>
          <w:rFonts w:ascii="Tahoma" w:hAnsi="Tahoma" w:cs="Tahoma"/>
          <w:sz w:val="22"/>
          <w:szCs w:val="22"/>
        </w:rPr>
        <w:t xml:space="preserve"> </w:t>
      </w:r>
      <w:r w:rsidR="0034770B">
        <w:rPr>
          <w:rFonts w:ascii="Tahoma" w:hAnsi="Tahoma" w:cs="Tahoma"/>
          <w:sz w:val="22"/>
          <w:szCs w:val="22"/>
        </w:rPr>
        <w:t xml:space="preserve">______ </w:t>
      </w:r>
      <w:r>
        <w:rPr>
          <w:rFonts w:ascii="Tahoma" w:hAnsi="Tahoma" w:cs="Tahoma"/>
          <w:sz w:val="22"/>
          <w:szCs w:val="22"/>
        </w:rPr>
        <w:t xml:space="preserve">2017 </w:t>
      </w:r>
      <w:r w:rsidRPr="004165E5">
        <w:rPr>
          <w:rFonts w:ascii="Tahoma" w:hAnsi="Tahoma" w:cs="Tahoma"/>
          <w:sz w:val="22"/>
          <w:szCs w:val="22"/>
        </w:rPr>
        <w:t xml:space="preserve">№ </w:t>
      </w:r>
      <w:r>
        <w:rPr>
          <w:rFonts w:ascii="Tahoma" w:hAnsi="Tahoma" w:cs="Tahoma"/>
          <w:sz w:val="22"/>
          <w:szCs w:val="22"/>
        </w:rPr>
        <w:t>_____)</w:t>
      </w: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Pr="00D27578" w:rsidRDefault="005A424B" w:rsidP="005A424B">
      <w:pPr>
        <w:ind w:left="4820"/>
        <w:rPr>
          <w:rFonts w:ascii="Tahoma" w:hAnsi="Tahoma"/>
          <w:sz w:val="22"/>
          <w:szCs w:val="22"/>
        </w:rPr>
      </w:pPr>
      <w:r w:rsidRPr="00D27578">
        <w:rPr>
          <w:rFonts w:ascii="Tahoma" w:hAnsi="Tahoma"/>
          <w:sz w:val="22"/>
          <w:szCs w:val="22"/>
        </w:rPr>
        <w:t xml:space="preserve">Председатель </w:t>
      </w:r>
      <w:r>
        <w:rPr>
          <w:rFonts w:ascii="Tahoma" w:hAnsi="Tahoma"/>
          <w:sz w:val="22"/>
          <w:szCs w:val="22"/>
        </w:rPr>
        <w:t xml:space="preserve">внеочередного </w:t>
      </w:r>
      <w:r w:rsidRPr="00D27578">
        <w:rPr>
          <w:rFonts w:ascii="Tahoma" w:hAnsi="Tahoma"/>
          <w:sz w:val="22"/>
          <w:szCs w:val="22"/>
        </w:rPr>
        <w:t>Общего собрания акционеров:</w:t>
      </w:r>
    </w:p>
    <w:p w:rsidR="005A424B" w:rsidRPr="00D27578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  <w:r w:rsidRPr="00D27578">
        <w:rPr>
          <w:rFonts w:ascii="Tahoma" w:hAnsi="Tahoma"/>
          <w:sz w:val="22"/>
          <w:szCs w:val="22"/>
        </w:rPr>
        <w:t xml:space="preserve">___________________ / </w:t>
      </w:r>
      <w:r>
        <w:rPr>
          <w:rFonts w:ascii="Tahoma" w:hAnsi="Tahoma"/>
          <w:sz w:val="22"/>
          <w:szCs w:val="22"/>
        </w:rPr>
        <w:t>_____________</w:t>
      </w: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Default="004A39C2" w:rsidP="005A424B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Изменения</w:t>
      </w:r>
      <w:r w:rsidR="005A424B">
        <w:rPr>
          <w:rFonts w:ascii="Tahoma" w:hAnsi="Tahoma"/>
          <w:b/>
          <w:sz w:val="22"/>
          <w:szCs w:val="22"/>
        </w:rPr>
        <w:t xml:space="preserve"> № 2</w:t>
      </w:r>
    </w:p>
    <w:p w:rsidR="005A424B" w:rsidRPr="005A424B" w:rsidRDefault="005A424B" w:rsidP="005A424B">
      <w:pPr>
        <w:jc w:val="center"/>
        <w:rPr>
          <w:rFonts w:ascii="Tahoma" w:hAnsi="Tahoma"/>
          <w:b/>
          <w:sz w:val="22"/>
          <w:szCs w:val="22"/>
        </w:rPr>
      </w:pPr>
      <w:r w:rsidRPr="005A424B">
        <w:rPr>
          <w:rFonts w:ascii="Tahoma" w:hAnsi="Tahoma"/>
          <w:b/>
          <w:sz w:val="22"/>
          <w:szCs w:val="22"/>
        </w:rPr>
        <w:t>в Устав ПАО «РАО ЭС Востока»</w:t>
      </w:r>
    </w:p>
    <w:p w:rsidR="005A424B" w:rsidRDefault="005A424B" w:rsidP="005A424B">
      <w:pPr>
        <w:jc w:val="center"/>
        <w:rPr>
          <w:rFonts w:ascii="Tahoma" w:hAnsi="Tahoma"/>
          <w:sz w:val="22"/>
          <w:szCs w:val="22"/>
        </w:rPr>
      </w:pPr>
    </w:p>
    <w:p w:rsidR="005A424B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Пункт 9.1 статьи 9 Устава изложить в следующей редакции:</w:t>
      </w:r>
    </w:p>
    <w:p w:rsidR="008A6090" w:rsidRPr="0019298B" w:rsidRDefault="008A6090" w:rsidP="0019298B">
      <w:pPr>
        <w:pStyle w:val="a6"/>
        <w:tabs>
          <w:tab w:val="num" w:pos="1134"/>
        </w:tabs>
        <w:spacing w:line="228" w:lineRule="auto"/>
        <w:ind w:firstLine="709"/>
        <w:rPr>
          <w:rFonts w:cs="Tahoma"/>
          <w:spacing w:val="-2"/>
          <w:szCs w:val="22"/>
        </w:rPr>
      </w:pPr>
      <w:r w:rsidRPr="0019298B">
        <w:rPr>
          <w:rFonts w:cs="Tahoma"/>
          <w:szCs w:val="22"/>
        </w:rPr>
        <w:t>«</w:t>
      </w:r>
      <w:r w:rsidRPr="0019298B">
        <w:rPr>
          <w:rFonts w:cs="Tahoma"/>
          <w:spacing w:val="-2"/>
          <w:szCs w:val="22"/>
        </w:rPr>
        <w:t>Органами управления Общества являются:</w:t>
      </w:r>
    </w:p>
    <w:p w:rsidR="008A6090" w:rsidRPr="0019298B" w:rsidRDefault="008A6090" w:rsidP="0019298B">
      <w:pPr>
        <w:widowControl w:val="0"/>
        <w:numPr>
          <w:ilvl w:val="0"/>
          <w:numId w:val="3"/>
        </w:numPr>
        <w:spacing w:line="228" w:lineRule="auto"/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Общее собрание акционеров;</w:t>
      </w:r>
    </w:p>
    <w:p w:rsidR="008A6090" w:rsidRPr="0019298B" w:rsidRDefault="008A6090" w:rsidP="0019298B">
      <w:pPr>
        <w:widowControl w:val="0"/>
        <w:numPr>
          <w:ilvl w:val="0"/>
          <w:numId w:val="3"/>
        </w:numPr>
        <w:spacing w:line="228" w:lineRule="auto"/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Совет директоров;</w:t>
      </w:r>
    </w:p>
    <w:p w:rsidR="008A6090" w:rsidRDefault="008A6090" w:rsidP="0019298B">
      <w:pPr>
        <w:widowControl w:val="0"/>
        <w:numPr>
          <w:ilvl w:val="0"/>
          <w:numId w:val="3"/>
        </w:numPr>
        <w:spacing w:line="228" w:lineRule="auto"/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Генеральный директор.».</w:t>
      </w:r>
    </w:p>
    <w:p w:rsidR="0019298B" w:rsidRPr="0019298B" w:rsidRDefault="0019298B" w:rsidP="0019298B">
      <w:pPr>
        <w:widowControl w:val="0"/>
        <w:spacing w:line="228" w:lineRule="auto"/>
        <w:ind w:left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Подпункт 16 пункта 12.1 статьи 12 Устава изложить в следующей редакции:</w:t>
      </w:r>
    </w:p>
    <w:p w:rsidR="008A6090" w:rsidRDefault="008A6090" w:rsidP="0019298B">
      <w:pPr>
        <w:pStyle w:val="a3"/>
        <w:ind w:left="0"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«утверждение решения о выпуске (дополнительном выпуске) ценных бумаг, проспекта ценных бумаг, отчета об итогах выпуска (дополнительного выпуска) ценных бумаг, отчетов об итогах приобретения акций у акционеров Общества, отчетов об итогах погашения акций, отчетов об итогах предъявления акционерами Общества требований о выкупе принадлежащих им акций;».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Подпункт 34 пункта 12.1 статьи 12 Устава изложить в следующей редакции:</w:t>
      </w:r>
    </w:p>
    <w:p w:rsidR="008A6090" w:rsidRDefault="008A6090" w:rsidP="0019298B">
      <w:pPr>
        <w:pStyle w:val="a3"/>
        <w:ind w:left="0"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«</w:t>
      </w:r>
      <w:r w:rsidRPr="0019298B">
        <w:rPr>
          <w:rFonts w:ascii="Tahoma" w:hAnsi="Tahoma" w:cs="Tahoma"/>
          <w:spacing w:val="-2"/>
          <w:sz w:val="22"/>
          <w:szCs w:val="22"/>
        </w:rPr>
        <w:t>рассмотрение отчетов Генерального директора о деятельности Общества, о выполнении решений Общего собрания акционеров и Совета директоров;</w:t>
      </w: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».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Подпункт 36 пункта 12.1 статьи 12 Устава изложить в следующей редакции:</w:t>
      </w:r>
    </w:p>
    <w:p w:rsidR="008A6090" w:rsidRDefault="008A6090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19298B">
        <w:rPr>
          <w:rFonts w:ascii="Tahoma" w:hAnsi="Tahoma" w:cs="Tahoma"/>
          <w:sz w:val="22"/>
          <w:szCs w:val="22"/>
        </w:rPr>
        <w:t>«принятие решений по вопросам, отнесенным к компетенции высших органов управления дочерних обществ, в которых Общество осуществляет права единственного акционера (участника);».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8A6090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Подпункт 39 пункта 12.1 статьи 12 Устава исключить.</w:t>
      </w:r>
    </w:p>
    <w:p w:rsidR="0019298B" w:rsidRPr="0019298B" w:rsidRDefault="0019298B" w:rsidP="0019298B">
      <w:pPr>
        <w:pStyle w:val="a3"/>
        <w:ind w:left="709"/>
        <w:jc w:val="both"/>
        <w:rPr>
          <w:rFonts w:ascii="Tahoma" w:hAnsi="Tahoma" w:cs="Tahoma"/>
          <w:b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Пункт 13.1 статьи 13 Устава изложить в следующей редакции:</w:t>
      </w:r>
    </w:p>
    <w:p w:rsidR="008A6090" w:rsidRDefault="008A6090" w:rsidP="0019298B">
      <w:pPr>
        <w:pStyle w:val="a3"/>
        <w:ind w:left="0"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z w:val="22"/>
          <w:szCs w:val="22"/>
        </w:rPr>
        <w:t>«</w:t>
      </w: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Состав Совета директоров определяется в количестве 5 (Пять) человек.».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Подпункт 13.3 статьи 13 Устава изложить в следующей редакции:</w:t>
      </w:r>
    </w:p>
    <w:p w:rsidR="008A6090" w:rsidRDefault="008A6090" w:rsidP="0019298B">
      <w:pPr>
        <w:pStyle w:val="a4"/>
        <w:ind w:firstLine="709"/>
        <w:rPr>
          <w:rFonts w:cs="Tahoma"/>
          <w:spacing w:val="-2"/>
          <w:szCs w:val="22"/>
        </w:rPr>
      </w:pPr>
      <w:r w:rsidRPr="0019298B">
        <w:rPr>
          <w:rFonts w:cs="Tahoma"/>
          <w:szCs w:val="22"/>
        </w:rPr>
        <w:t>«</w:t>
      </w:r>
      <w:r w:rsidRPr="0019298B">
        <w:rPr>
          <w:rFonts w:cs="Tahoma"/>
          <w:spacing w:val="-2"/>
          <w:szCs w:val="22"/>
        </w:rPr>
        <w:t>Членом Совета директоров Общества может быть только физическое лицо.».</w:t>
      </w:r>
    </w:p>
    <w:p w:rsidR="0019298B" w:rsidRPr="0019298B" w:rsidRDefault="0019298B" w:rsidP="0019298B">
      <w:pPr>
        <w:pStyle w:val="a4"/>
        <w:ind w:firstLine="709"/>
        <w:rPr>
          <w:rFonts w:cs="Tahoma"/>
          <w:szCs w:val="22"/>
        </w:rPr>
      </w:pPr>
    </w:p>
    <w:p w:rsidR="008A6090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Статью 17 Устава исключить.</w:t>
      </w:r>
    </w:p>
    <w:p w:rsidR="0019298B" w:rsidRPr="0019298B" w:rsidRDefault="0019298B" w:rsidP="0019298B">
      <w:pPr>
        <w:pStyle w:val="a3"/>
        <w:ind w:left="709"/>
        <w:jc w:val="both"/>
        <w:rPr>
          <w:rFonts w:ascii="Tahoma" w:hAnsi="Tahoma" w:cs="Tahoma"/>
          <w:b/>
          <w:sz w:val="22"/>
          <w:szCs w:val="22"/>
        </w:rPr>
      </w:pPr>
    </w:p>
    <w:p w:rsidR="008A6090" w:rsidRDefault="0019298B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Статью 18 Устава исключить.</w:t>
      </w:r>
    </w:p>
    <w:p w:rsidR="0019298B" w:rsidRPr="0019298B" w:rsidRDefault="0019298B" w:rsidP="0019298B">
      <w:pPr>
        <w:pStyle w:val="a3"/>
        <w:rPr>
          <w:rFonts w:ascii="Tahoma" w:hAnsi="Tahoma" w:cs="Tahoma"/>
          <w:b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Пункт 19.1 статьи 19 Устава дополнить вторым предложением в следующей редакции:</w:t>
      </w:r>
    </w:p>
    <w:p w:rsidR="008A6090" w:rsidRDefault="008A6090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19298B">
        <w:rPr>
          <w:rFonts w:ascii="Tahoma" w:hAnsi="Tahoma" w:cs="Tahoma"/>
          <w:sz w:val="22"/>
          <w:szCs w:val="22"/>
        </w:rPr>
        <w:lastRenderedPageBreak/>
        <w:t>«</w:t>
      </w:r>
      <w:r w:rsidRPr="0019298B">
        <w:rPr>
          <w:rFonts w:ascii="Tahoma" w:hAnsi="Tahoma" w:cs="Tahoma"/>
          <w:spacing w:val="-2"/>
          <w:sz w:val="22"/>
          <w:szCs w:val="22"/>
        </w:rPr>
        <w:t xml:space="preserve">Генеральный директор подотчетен </w:t>
      </w:r>
      <w:r w:rsidRPr="0019298B">
        <w:rPr>
          <w:rFonts w:ascii="Tahoma" w:hAnsi="Tahoma" w:cs="Tahoma"/>
          <w:sz w:val="22"/>
          <w:szCs w:val="22"/>
        </w:rPr>
        <w:t>Общему собранию акционеров и Совету директоров Общества. Права и обязанности Генерального директора Общества по осуществлению руководства текущей деятельностью Общества определяются законодательством Российской Федерации и договором, заключаемым Генеральным директором с Обществом.».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8A6090" w:rsidRPr="0019298B" w:rsidRDefault="008A6090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Пункт</w:t>
      </w:r>
      <w:r w:rsidR="002264AC">
        <w:rPr>
          <w:rFonts w:ascii="Tahoma" w:hAnsi="Tahoma" w:cs="Tahoma"/>
          <w:b/>
          <w:sz w:val="22"/>
          <w:szCs w:val="22"/>
        </w:rPr>
        <w:t xml:space="preserve"> </w:t>
      </w:r>
      <w:r w:rsidRPr="0019298B">
        <w:rPr>
          <w:rFonts w:ascii="Tahoma" w:hAnsi="Tahoma" w:cs="Tahoma"/>
          <w:b/>
          <w:sz w:val="22"/>
          <w:szCs w:val="22"/>
        </w:rPr>
        <w:t xml:space="preserve">19.2 статьи 19 Устава </w:t>
      </w:r>
      <w:r w:rsidR="001346E6" w:rsidRPr="0019298B">
        <w:rPr>
          <w:rFonts w:ascii="Tahoma" w:hAnsi="Tahoma" w:cs="Tahoma"/>
          <w:b/>
          <w:sz w:val="22"/>
          <w:szCs w:val="22"/>
        </w:rPr>
        <w:t>изложить в следующей редакции:</w:t>
      </w:r>
    </w:p>
    <w:p w:rsidR="001346E6" w:rsidRDefault="001346E6" w:rsidP="0019298B">
      <w:pPr>
        <w:pStyle w:val="a3"/>
        <w:ind w:left="0" w:firstLine="709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19298B">
        <w:rPr>
          <w:rFonts w:ascii="Tahoma" w:hAnsi="Tahoma" w:cs="Tahoma"/>
          <w:sz w:val="22"/>
          <w:szCs w:val="22"/>
        </w:rPr>
        <w:t>«</w:t>
      </w:r>
      <w:r w:rsidRPr="0019298B">
        <w:rPr>
          <w:rFonts w:ascii="Tahoma" w:hAnsi="Tahoma" w:cs="Tahoma"/>
          <w:color w:val="000000"/>
          <w:spacing w:val="-2"/>
          <w:sz w:val="22"/>
          <w:szCs w:val="22"/>
        </w:rPr>
        <w:t>К компетенции Генерального директора относятся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директоров.».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19298B" w:rsidRPr="0019298B" w:rsidRDefault="0019298B" w:rsidP="0019298B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19298B">
        <w:rPr>
          <w:rFonts w:ascii="Tahoma" w:hAnsi="Tahoma" w:cs="Tahoma"/>
          <w:b/>
          <w:sz w:val="22"/>
          <w:szCs w:val="22"/>
        </w:rPr>
        <w:t>Пункт</w:t>
      </w:r>
      <w:r w:rsidR="002264AC">
        <w:rPr>
          <w:rFonts w:ascii="Tahoma" w:hAnsi="Tahoma" w:cs="Tahoma"/>
          <w:b/>
          <w:sz w:val="22"/>
          <w:szCs w:val="22"/>
        </w:rPr>
        <w:t xml:space="preserve"> </w:t>
      </w:r>
      <w:r w:rsidRPr="0019298B">
        <w:rPr>
          <w:rFonts w:ascii="Tahoma" w:hAnsi="Tahoma" w:cs="Tahoma"/>
          <w:b/>
          <w:sz w:val="22"/>
          <w:szCs w:val="22"/>
        </w:rPr>
        <w:t>19.</w:t>
      </w:r>
      <w:r w:rsidR="002264AC">
        <w:rPr>
          <w:rFonts w:ascii="Tahoma" w:hAnsi="Tahoma" w:cs="Tahoma"/>
          <w:b/>
          <w:sz w:val="22"/>
          <w:szCs w:val="22"/>
        </w:rPr>
        <w:t>3</w:t>
      </w:r>
      <w:r w:rsidRPr="0019298B">
        <w:rPr>
          <w:rFonts w:ascii="Tahoma" w:hAnsi="Tahoma" w:cs="Tahoma"/>
          <w:b/>
          <w:sz w:val="22"/>
          <w:szCs w:val="22"/>
        </w:rPr>
        <w:t xml:space="preserve"> статьи 19 Устава изложить в следующей редакции:</w:t>
      </w:r>
    </w:p>
    <w:p w:rsidR="0019298B" w:rsidRPr="0019298B" w:rsidRDefault="0019298B" w:rsidP="0019298B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19298B">
        <w:rPr>
          <w:rFonts w:ascii="Tahoma" w:hAnsi="Tahoma" w:cs="Tahoma"/>
          <w:sz w:val="22"/>
          <w:szCs w:val="22"/>
        </w:rPr>
        <w:t>«</w:t>
      </w:r>
      <w:r w:rsidRPr="0019298B">
        <w:rPr>
          <w:rFonts w:ascii="Tahoma" w:hAnsi="Tahoma" w:cs="Tahoma"/>
          <w:spacing w:val="-2"/>
          <w:sz w:val="22"/>
          <w:szCs w:val="22"/>
        </w:rPr>
        <w:t>Генеральный директор без доверенности действует от имени Общества, в том числе, с учетом ограничений, предусмотренных законодательством Российской Федерации, настоящим Уставом и решениями Общего собрания акционеров и Совета директоров:</w:t>
      </w:r>
    </w:p>
    <w:p w:rsidR="0019298B" w:rsidRPr="0019298B" w:rsidRDefault="0019298B" w:rsidP="0019298B">
      <w:pPr>
        <w:pStyle w:val="a6"/>
        <w:tabs>
          <w:tab w:val="clear" w:pos="1134"/>
          <w:tab w:val="left" w:pos="851"/>
        </w:tabs>
        <w:ind w:firstLine="709"/>
        <w:rPr>
          <w:rFonts w:cs="Tahoma"/>
          <w:szCs w:val="22"/>
        </w:rPr>
      </w:pPr>
      <w:r w:rsidRPr="0019298B">
        <w:rPr>
          <w:rFonts w:cs="Tahoma"/>
          <w:snapToGrid/>
          <w:szCs w:val="22"/>
        </w:rPr>
        <w:t>-</w:t>
      </w:r>
      <w:r w:rsidRPr="0019298B">
        <w:rPr>
          <w:rFonts w:cs="Tahoma"/>
          <w:snapToGrid/>
          <w:szCs w:val="22"/>
        </w:rPr>
        <w:tab/>
      </w:r>
      <w:r w:rsidRPr="0019298B">
        <w:rPr>
          <w:rFonts w:cs="Tahoma"/>
          <w:szCs w:val="22"/>
        </w:rPr>
        <w:t>обеспечивает выполнение планов деятельности Общества, необходимых для решения его задач;</w:t>
      </w:r>
    </w:p>
    <w:p w:rsidR="0019298B" w:rsidRPr="0019298B" w:rsidRDefault="0019298B" w:rsidP="0019298B">
      <w:pPr>
        <w:widowControl w:val="0"/>
        <w:numPr>
          <w:ilvl w:val="0"/>
          <w:numId w:val="6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организует ведение бухгалтерского учета и бухгалтерской (финансовой)</w:t>
      </w:r>
      <w:r w:rsidRPr="0019298B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отчетности в Обществе;</w:t>
      </w:r>
    </w:p>
    <w:p w:rsidR="0019298B" w:rsidRPr="0019298B" w:rsidRDefault="0019298B" w:rsidP="0019298B">
      <w:pPr>
        <w:widowControl w:val="0"/>
        <w:numPr>
          <w:ilvl w:val="0"/>
          <w:numId w:val="5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распоряжается имуществом Общества, совершает сделки от имени Общества, выдает доверенности, открывает в банках, иных кредитных организациях (а также в предусмотренных законом случаях – в организациях - профессиональных участниках рынка ценных бумаг) расчетные и иные счета Общества в порядке, определенном Уставом Общества;</w:t>
      </w:r>
    </w:p>
    <w:p w:rsidR="0019298B" w:rsidRPr="0019298B" w:rsidRDefault="0019298B" w:rsidP="0019298B">
      <w:pPr>
        <w:widowControl w:val="0"/>
        <w:numPr>
          <w:ilvl w:val="0"/>
          <w:numId w:val="6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издает приказы, утверждает (принимает) инструкции, и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19298B" w:rsidRPr="0019298B" w:rsidRDefault="0019298B" w:rsidP="0019298B">
      <w:pPr>
        <w:widowControl w:val="0"/>
        <w:numPr>
          <w:ilvl w:val="0"/>
          <w:numId w:val="6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утверждает Положения о филиалах и представительствах Общества;</w:t>
      </w:r>
    </w:p>
    <w:p w:rsidR="0019298B" w:rsidRPr="0019298B" w:rsidRDefault="0019298B" w:rsidP="0019298B">
      <w:pPr>
        <w:widowControl w:val="0"/>
        <w:numPr>
          <w:ilvl w:val="0"/>
          <w:numId w:val="5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утверждает штатное расписание и должностные оклады работников Общества;</w:t>
      </w:r>
    </w:p>
    <w:p w:rsidR="0019298B" w:rsidRPr="0019298B" w:rsidRDefault="0019298B" w:rsidP="0019298B">
      <w:pPr>
        <w:widowControl w:val="0"/>
        <w:numPr>
          <w:ilvl w:val="0"/>
          <w:numId w:val="5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осуществляет в отношении работников Общества права и обязанности работодателя, предусмотренные трудовым законодательством;</w:t>
      </w:r>
    </w:p>
    <w:p w:rsidR="0019298B" w:rsidRPr="0019298B" w:rsidRDefault="0019298B" w:rsidP="0019298B">
      <w:pPr>
        <w:widowControl w:val="0"/>
        <w:numPr>
          <w:ilvl w:val="0"/>
          <w:numId w:val="5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распределяет обязанности между заместителями Генерального директора Общества;</w:t>
      </w:r>
    </w:p>
    <w:p w:rsidR="0019298B" w:rsidRPr="0019298B" w:rsidRDefault="0019298B" w:rsidP="0019298B">
      <w:pPr>
        <w:widowControl w:val="0"/>
        <w:numPr>
          <w:ilvl w:val="0"/>
          <w:numId w:val="6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представляет на рассмотрение Совета директоров отчеты о финансово-хозяйственной деятельности дочерних обществ, а также информацию о других организациях, в которых участвует Общество;</w:t>
      </w:r>
    </w:p>
    <w:p w:rsidR="0019298B" w:rsidRPr="0019298B" w:rsidRDefault="0019298B" w:rsidP="0019298B">
      <w:pPr>
        <w:widowControl w:val="0"/>
        <w:numPr>
          <w:ilvl w:val="0"/>
          <w:numId w:val="6"/>
        </w:numPr>
        <w:tabs>
          <w:tab w:val="clear" w:pos="735"/>
          <w:tab w:val="left" w:pos="567"/>
          <w:tab w:val="num" w:pos="851"/>
        </w:tabs>
        <w:ind w:firstLine="709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не позднее, чем за 45 (Сорок пять) дней до даты проведения годового Общего собрания акционеров Общества представляет на рассмотрение Совету директоров годовой отчет, бухгалтерский баланс, отчет о финансовых результатах Общества, распределение прибылей и убытков Общества;</w:t>
      </w:r>
    </w:p>
    <w:p w:rsidR="00FA0C47" w:rsidRDefault="0019298B" w:rsidP="00E250B5">
      <w:pPr>
        <w:widowControl w:val="0"/>
        <w:numPr>
          <w:ilvl w:val="0"/>
          <w:numId w:val="6"/>
        </w:numPr>
        <w:tabs>
          <w:tab w:val="clear" w:pos="735"/>
          <w:tab w:val="left" w:pos="567"/>
          <w:tab w:val="num" w:pos="851"/>
        </w:tabs>
        <w:ind w:firstLine="709"/>
        <w:jc w:val="both"/>
      </w:pPr>
      <w:r w:rsidRPr="0019298B">
        <w:rPr>
          <w:rFonts w:ascii="Tahoma" w:hAnsi="Tahoma" w:cs="Tahoma"/>
          <w:snapToGrid w:val="0"/>
          <w:spacing w:val="-2"/>
          <w:sz w:val="22"/>
          <w:szCs w:val="22"/>
        </w:rPr>
        <w:t>решает иные вопросы текущей деятельности Общества, за исключением вопросов, отнесенных к компетенции Общего собрания акционеров и Совета директоров Общества.».</w:t>
      </w:r>
    </w:p>
    <w:sectPr w:rsidR="00FA0C47" w:rsidSect="005A424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705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" w15:restartNumberingAfterBreak="0">
    <w:nsid w:val="33A86798"/>
    <w:multiLevelType w:val="multilevel"/>
    <w:tmpl w:val="EFECC29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96A601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" w15:restartNumberingAfterBreak="0">
    <w:nsid w:val="51FA3D18"/>
    <w:multiLevelType w:val="hybridMultilevel"/>
    <w:tmpl w:val="171C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913F9"/>
    <w:multiLevelType w:val="singleLevel"/>
    <w:tmpl w:val="5BECC250"/>
    <w:lvl w:ilvl="0">
      <w:start w:val="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 w15:restartNumberingAfterBreak="0">
    <w:nsid w:val="74E534D3"/>
    <w:multiLevelType w:val="multilevel"/>
    <w:tmpl w:val="9BF44556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E"/>
    <w:rsid w:val="001346E6"/>
    <w:rsid w:val="0019298B"/>
    <w:rsid w:val="001F3036"/>
    <w:rsid w:val="002264AC"/>
    <w:rsid w:val="0026756F"/>
    <w:rsid w:val="0034770B"/>
    <w:rsid w:val="0035531F"/>
    <w:rsid w:val="004A39C2"/>
    <w:rsid w:val="005A424B"/>
    <w:rsid w:val="005F757E"/>
    <w:rsid w:val="00753D2F"/>
    <w:rsid w:val="007E6009"/>
    <w:rsid w:val="008A6090"/>
    <w:rsid w:val="009F1BF3"/>
    <w:rsid w:val="00D833EB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C3B6-416C-40DB-A647-54333C9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90"/>
    <w:pPr>
      <w:ind w:left="720"/>
      <w:contextualSpacing/>
    </w:pPr>
  </w:style>
  <w:style w:type="paragraph" w:styleId="a4">
    <w:name w:val="Body Text"/>
    <w:basedOn w:val="a"/>
    <w:link w:val="a5"/>
    <w:rsid w:val="008A6090"/>
    <w:pPr>
      <w:widowControl w:val="0"/>
      <w:jc w:val="both"/>
    </w:pPr>
    <w:rPr>
      <w:rFonts w:ascii="Tahoma" w:hAnsi="Tahoma"/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8A6090"/>
    <w:rPr>
      <w:rFonts w:ascii="Tahoma" w:eastAsia="Times New Roman" w:hAnsi="Tahoma" w:cs="Times New Roman"/>
      <w:snapToGrid w:val="0"/>
      <w:szCs w:val="20"/>
      <w:lang w:eastAsia="ru-RU"/>
    </w:rPr>
  </w:style>
  <w:style w:type="paragraph" w:styleId="a6">
    <w:name w:val="Body Text Indent"/>
    <w:basedOn w:val="a"/>
    <w:link w:val="a7"/>
    <w:rsid w:val="008A6090"/>
    <w:pPr>
      <w:widowControl w:val="0"/>
      <w:tabs>
        <w:tab w:val="left" w:pos="1134"/>
      </w:tabs>
      <w:ind w:firstLine="567"/>
      <w:jc w:val="both"/>
    </w:pPr>
    <w:rPr>
      <w:rFonts w:ascii="Tahoma" w:hAnsi="Tahoma"/>
      <w:snapToGrid w:val="0"/>
      <w:sz w:val="22"/>
    </w:rPr>
  </w:style>
  <w:style w:type="character" w:customStyle="1" w:styleId="a7">
    <w:name w:val="Основной текст с отступом Знак"/>
    <w:basedOn w:val="a0"/>
    <w:link w:val="a6"/>
    <w:rsid w:val="008A6090"/>
    <w:rPr>
      <w:rFonts w:ascii="Tahoma" w:eastAsia="Times New Roman" w:hAnsi="Tahoma" w:cs="Times New Roman"/>
      <w:snapToGrid w:val="0"/>
      <w:szCs w:val="20"/>
      <w:lang w:eastAsia="ru-RU"/>
    </w:rPr>
  </w:style>
  <w:style w:type="character" w:styleId="a8">
    <w:name w:val="annotation reference"/>
    <w:rsid w:val="008A6090"/>
    <w:rPr>
      <w:sz w:val="16"/>
      <w:szCs w:val="16"/>
    </w:rPr>
  </w:style>
  <w:style w:type="paragraph" w:styleId="a9">
    <w:name w:val="annotation text"/>
    <w:basedOn w:val="a"/>
    <w:link w:val="aa"/>
    <w:rsid w:val="008A6090"/>
  </w:style>
  <w:style w:type="character" w:customStyle="1" w:styleId="aa">
    <w:name w:val="Текст примечания Знак"/>
    <w:basedOn w:val="a0"/>
    <w:link w:val="a9"/>
    <w:rsid w:val="008A6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0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6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"РАО ЭС Востока"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Алла Сергеевна</dc:creator>
  <cp:keywords/>
  <dc:description/>
  <cp:lastModifiedBy>Радаева Алла Сергеевна</cp:lastModifiedBy>
  <cp:revision>2</cp:revision>
  <dcterms:created xsi:type="dcterms:W3CDTF">2017-03-22T15:49:00Z</dcterms:created>
  <dcterms:modified xsi:type="dcterms:W3CDTF">2017-03-22T15:49:00Z</dcterms:modified>
</cp:coreProperties>
</file>